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8E2" w:rsidRPr="002A1C38" w:rsidRDefault="001B2F30" w:rsidP="001B2F30">
      <w:pPr>
        <w:autoSpaceDE w:val="0"/>
        <w:autoSpaceDN w:val="0"/>
        <w:adjustRightInd w:val="0"/>
        <w:spacing w:after="0" w:line="240" w:lineRule="auto"/>
        <w:rPr>
          <w:b/>
          <w:i/>
        </w:rPr>
      </w:pPr>
      <w:bookmarkStart w:id="0" w:name="_GoBack"/>
      <w:bookmarkEnd w:id="0"/>
      <w:r w:rsidRPr="002A1C38">
        <w:rPr>
          <w:b/>
          <w:i/>
        </w:rPr>
        <w:t>PREPARAZIONI GALENICHE DI CANNABIS</w:t>
      </w:r>
      <w:r w:rsidR="00ED08A5" w:rsidRPr="002A1C38">
        <w:rPr>
          <w:b/>
          <w:i/>
        </w:rPr>
        <w:t xml:space="preserve"> – NOTA PER MMG E PLS</w:t>
      </w:r>
    </w:p>
    <w:p w:rsidR="001B2F30" w:rsidRDefault="001B2F30" w:rsidP="001B2F30">
      <w:pPr>
        <w:autoSpaceDE w:val="0"/>
        <w:autoSpaceDN w:val="0"/>
        <w:adjustRightInd w:val="0"/>
        <w:spacing w:after="0" w:line="240" w:lineRule="auto"/>
      </w:pPr>
      <w:r>
        <w:t>La DGR 491 del 02/08/2018 definisce le regole</w:t>
      </w:r>
      <w:r w:rsidR="00D33E0C" w:rsidRPr="00D33E0C">
        <w:t xml:space="preserve"> </w:t>
      </w:r>
      <w:r w:rsidR="00D33E0C">
        <w:t>sul territorio regionale</w:t>
      </w:r>
      <w:r>
        <w:t xml:space="preserve"> per la prescrizione, l’allestimento, l’erogazione e la rimborsabilità a carico del S.S.R.</w:t>
      </w:r>
      <w:r w:rsidR="00D33E0C">
        <w:t xml:space="preserve"> ai soli cittadini lombardi</w:t>
      </w:r>
      <w:r>
        <w:t xml:space="preserve"> dei preparati galenici magistrali a base di </w:t>
      </w:r>
      <w:r w:rsidR="00D33E0C">
        <w:t>cannabis per uso medico</w:t>
      </w:r>
      <w:r>
        <w:t>.</w:t>
      </w:r>
    </w:p>
    <w:p w:rsidR="00D33E0C" w:rsidRDefault="00D33E0C" w:rsidP="00D33E0C">
      <w:pPr>
        <w:autoSpaceDE w:val="0"/>
        <w:autoSpaceDN w:val="0"/>
        <w:adjustRightInd w:val="0"/>
        <w:spacing w:after="0" w:line="240" w:lineRule="auto"/>
      </w:pPr>
      <w:r>
        <w:t xml:space="preserve">L’erogazione con oneri a carico del S.S.R. è prevista </w:t>
      </w:r>
      <w:r w:rsidRPr="00D67A5C">
        <w:rPr>
          <w:b/>
          <w:u w:val="single"/>
        </w:rPr>
        <w:t>per gli assistiti lombardi, in mancanza di valida alternativa terapeutica</w:t>
      </w:r>
      <w:r w:rsidRPr="00D33E0C">
        <w:t xml:space="preserve"> </w:t>
      </w:r>
      <w:r>
        <w:t xml:space="preserve">per le patologie e relativi codici di esenzione: </w:t>
      </w:r>
    </w:p>
    <w:p w:rsidR="00D33E0C" w:rsidRDefault="00D33E0C" w:rsidP="00D33E0C">
      <w:pPr>
        <w:autoSpaceDE w:val="0"/>
        <w:autoSpaceDN w:val="0"/>
        <w:adjustRightInd w:val="0"/>
        <w:spacing w:after="0" w:line="240" w:lineRule="auto"/>
      </w:pPr>
    </w:p>
    <w:p w:rsidR="00D33E0C" w:rsidRDefault="00D33E0C" w:rsidP="00D33E0C">
      <w:pPr>
        <w:autoSpaceDE w:val="0"/>
        <w:autoSpaceDN w:val="0"/>
        <w:adjustRightInd w:val="0"/>
        <w:spacing w:after="0" w:line="240" w:lineRule="auto"/>
      </w:pPr>
      <w:r>
        <w:t>• paziente oncologico (</w:t>
      </w:r>
      <w:r w:rsidRPr="00D67A5C">
        <w:rPr>
          <w:b/>
        </w:rPr>
        <w:t>048</w:t>
      </w:r>
      <w:r>
        <w:t xml:space="preserve">) </w:t>
      </w:r>
    </w:p>
    <w:p w:rsidR="00D33E0C" w:rsidRDefault="00D33E0C" w:rsidP="00D33E0C">
      <w:pPr>
        <w:autoSpaceDE w:val="0"/>
        <w:autoSpaceDN w:val="0"/>
        <w:adjustRightInd w:val="0"/>
        <w:spacing w:after="0" w:line="240" w:lineRule="auto"/>
      </w:pPr>
      <w:r>
        <w:t>• sclerosi multipla (</w:t>
      </w:r>
      <w:r w:rsidRPr="00D67A5C">
        <w:rPr>
          <w:b/>
        </w:rPr>
        <w:t>046</w:t>
      </w:r>
      <w:r>
        <w:t xml:space="preserve">) </w:t>
      </w:r>
    </w:p>
    <w:p w:rsidR="00D33E0C" w:rsidRDefault="00D33E0C" w:rsidP="00D33E0C">
      <w:pPr>
        <w:autoSpaceDE w:val="0"/>
        <w:autoSpaceDN w:val="0"/>
        <w:adjustRightInd w:val="0"/>
        <w:spacing w:after="0" w:line="240" w:lineRule="auto"/>
      </w:pPr>
      <w:r>
        <w:t>• glaucoma (</w:t>
      </w:r>
      <w:r w:rsidRPr="00D67A5C">
        <w:rPr>
          <w:b/>
        </w:rPr>
        <w:t>019</w:t>
      </w:r>
      <w:r>
        <w:t xml:space="preserve">) </w:t>
      </w:r>
    </w:p>
    <w:p w:rsidR="00D33E0C" w:rsidRDefault="00D33E0C" w:rsidP="00D33E0C">
      <w:pPr>
        <w:autoSpaceDE w:val="0"/>
        <w:autoSpaceDN w:val="0"/>
        <w:adjustRightInd w:val="0"/>
        <w:spacing w:after="0" w:line="240" w:lineRule="auto"/>
      </w:pPr>
      <w:r>
        <w:t>• anoressia nervosa (</w:t>
      </w:r>
      <w:r w:rsidRPr="00D67A5C">
        <w:rPr>
          <w:b/>
        </w:rPr>
        <w:t>005</w:t>
      </w:r>
      <w:r>
        <w:t xml:space="preserve">) </w:t>
      </w:r>
    </w:p>
    <w:p w:rsidR="00D33E0C" w:rsidRDefault="00D33E0C" w:rsidP="00D33E0C">
      <w:pPr>
        <w:autoSpaceDE w:val="0"/>
        <w:autoSpaceDN w:val="0"/>
        <w:adjustRightInd w:val="0"/>
        <w:spacing w:after="0" w:line="240" w:lineRule="auto"/>
      </w:pPr>
      <w:r>
        <w:t>• infezioni da HIV (</w:t>
      </w:r>
      <w:r w:rsidRPr="00D67A5C">
        <w:rPr>
          <w:b/>
        </w:rPr>
        <w:t>020</w:t>
      </w:r>
      <w:r>
        <w:t xml:space="preserve">) </w:t>
      </w:r>
    </w:p>
    <w:p w:rsidR="00D33E0C" w:rsidRDefault="00D33E0C" w:rsidP="00D33E0C">
      <w:pPr>
        <w:autoSpaceDE w:val="0"/>
        <w:autoSpaceDN w:val="0"/>
        <w:adjustRightInd w:val="0"/>
        <w:spacing w:after="0" w:line="240" w:lineRule="auto"/>
      </w:pPr>
      <w:r>
        <w:t xml:space="preserve">• terapia del dolore (codice </w:t>
      </w:r>
      <w:r w:rsidRPr="00D67A5C">
        <w:rPr>
          <w:b/>
        </w:rPr>
        <w:t>TDL</w:t>
      </w:r>
      <w:r>
        <w:t xml:space="preserve">) </w:t>
      </w:r>
    </w:p>
    <w:p w:rsidR="00D33E0C" w:rsidRDefault="00D33E0C" w:rsidP="00D33E0C">
      <w:pPr>
        <w:autoSpaceDE w:val="0"/>
        <w:autoSpaceDN w:val="0"/>
        <w:adjustRightInd w:val="0"/>
        <w:spacing w:after="0" w:line="240" w:lineRule="auto"/>
      </w:pPr>
      <w:r>
        <w:t xml:space="preserve">• sindrome di Gilles de la </w:t>
      </w:r>
      <w:proofErr w:type="spellStart"/>
      <w:r>
        <w:t>Tourette</w:t>
      </w:r>
      <w:proofErr w:type="spellEnd"/>
      <w:r>
        <w:t xml:space="preserve"> (codice </w:t>
      </w:r>
      <w:r w:rsidRPr="00D67A5C">
        <w:rPr>
          <w:b/>
        </w:rPr>
        <w:t>L99</w:t>
      </w:r>
      <w:r>
        <w:t>)</w:t>
      </w:r>
    </w:p>
    <w:p w:rsidR="00D33E0C" w:rsidRDefault="00D33E0C" w:rsidP="00D33E0C">
      <w:pPr>
        <w:autoSpaceDE w:val="0"/>
        <w:autoSpaceDN w:val="0"/>
        <w:adjustRightInd w:val="0"/>
        <w:spacing w:after="0" w:line="240" w:lineRule="auto"/>
      </w:pPr>
      <w:r>
        <w:t xml:space="preserve">Ogni prescrizione di preparati galenici magistrali a base di cannabis </w:t>
      </w:r>
      <w:r w:rsidRPr="00D67A5C">
        <w:rPr>
          <w:b/>
        </w:rPr>
        <w:t>al di fuori delle indicazioni di cui sopra</w:t>
      </w:r>
      <w:r>
        <w:t xml:space="preserve"> è consentita nel rispetto della legge 94/98, </w:t>
      </w:r>
      <w:r w:rsidRPr="00D67A5C">
        <w:rPr>
          <w:u w:val="single"/>
        </w:rPr>
        <w:t>ma non è rimborsata dal S.S.R</w:t>
      </w:r>
      <w:r>
        <w:t>.</w:t>
      </w:r>
    </w:p>
    <w:p w:rsidR="00D33E0C" w:rsidRDefault="00D33E0C" w:rsidP="00D33E0C">
      <w:pPr>
        <w:autoSpaceDE w:val="0"/>
        <w:autoSpaceDN w:val="0"/>
        <w:adjustRightInd w:val="0"/>
        <w:spacing w:after="0" w:line="240" w:lineRule="auto"/>
      </w:pPr>
    </w:p>
    <w:p w:rsidR="001B2F30" w:rsidRDefault="001B2F30" w:rsidP="001B2F30">
      <w:pPr>
        <w:autoSpaceDE w:val="0"/>
        <w:autoSpaceDN w:val="0"/>
        <w:adjustRightInd w:val="0"/>
        <w:spacing w:after="0" w:line="240" w:lineRule="auto"/>
        <w:rPr>
          <w:b/>
        </w:rPr>
      </w:pPr>
      <w:r>
        <w:t xml:space="preserve">La prescrizione di preparazioni galeniche magistrali a carico del Servizio Sanitario Regionale avviene sulla base di un </w:t>
      </w:r>
      <w:r w:rsidRPr="001B2F30">
        <w:rPr>
          <w:b/>
        </w:rPr>
        <w:t>piano terapeutico</w:t>
      </w:r>
      <w:r>
        <w:rPr>
          <w:b/>
        </w:rPr>
        <w:t>, compilato da specialisti operanti in strutture pubbliche o private accreditate, nelle seguenti Unità Operative:</w:t>
      </w:r>
    </w:p>
    <w:p w:rsidR="001B2F30" w:rsidRDefault="001B2F30" w:rsidP="001B2F30">
      <w:pPr>
        <w:autoSpaceDE w:val="0"/>
        <w:autoSpaceDN w:val="0"/>
        <w:adjustRightInd w:val="0"/>
        <w:spacing w:after="0" w:line="240" w:lineRule="auto"/>
      </w:pPr>
    </w:p>
    <w:p w:rsidR="001B2F30" w:rsidRDefault="001B2F30" w:rsidP="001B2F30">
      <w:pPr>
        <w:autoSpaceDE w:val="0"/>
        <w:autoSpaceDN w:val="0"/>
        <w:adjustRightInd w:val="0"/>
        <w:spacing w:after="0" w:line="240" w:lineRule="auto"/>
      </w:pPr>
      <w:r>
        <w:sym w:font="Symbol" w:char="F0B7"/>
      </w:r>
      <w:r>
        <w:t xml:space="preserve"> Anestesia Rianimazione</w:t>
      </w:r>
    </w:p>
    <w:p w:rsidR="001B2F30" w:rsidRDefault="001B2F30" w:rsidP="001B2F30">
      <w:pPr>
        <w:autoSpaceDE w:val="0"/>
        <w:autoSpaceDN w:val="0"/>
        <w:adjustRightInd w:val="0"/>
        <w:spacing w:after="0" w:line="240" w:lineRule="auto"/>
      </w:pPr>
      <w:r>
        <w:t xml:space="preserve"> </w:t>
      </w:r>
      <w:r>
        <w:sym w:font="Symbol" w:char="F0B7"/>
      </w:r>
      <w:r>
        <w:t xml:space="preserve"> Centri di Terapia del Dolore di primo e secondo livello e Ambulatori di Terapia del Dolore </w:t>
      </w:r>
    </w:p>
    <w:p w:rsidR="001B2F30" w:rsidRDefault="001B2F30" w:rsidP="001B2F30">
      <w:pPr>
        <w:autoSpaceDE w:val="0"/>
        <w:autoSpaceDN w:val="0"/>
        <w:adjustRightInd w:val="0"/>
        <w:spacing w:after="0" w:line="240" w:lineRule="auto"/>
      </w:pPr>
      <w:r>
        <w:sym w:font="Symbol" w:char="F0B7"/>
      </w:r>
      <w:r>
        <w:t xml:space="preserve"> Neurologia </w:t>
      </w:r>
    </w:p>
    <w:p w:rsidR="001B2F30" w:rsidRDefault="001B2F30" w:rsidP="001B2F30">
      <w:pPr>
        <w:autoSpaceDE w:val="0"/>
        <w:autoSpaceDN w:val="0"/>
        <w:adjustRightInd w:val="0"/>
        <w:spacing w:after="0" w:line="240" w:lineRule="auto"/>
      </w:pPr>
      <w:r>
        <w:sym w:font="Symbol" w:char="F0B7"/>
      </w:r>
      <w:r>
        <w:t xml:space="preserve"> Malattie Infettive </w:t>
      </w:r>
    </w:p>
    <w:p w:rsidR="001B2F30" w:rsidRDefault="001B2F30" w:rsidP="001B2F30">
      <w:pPr>
        <w:autoSpaceDE w:val="0"/>
        <w:autoSpaceDN w:val="0"/>
        <w:adjustRightInd w:val="0"/>
        <w:spacing w:after="0" w:line="240" w:lineRule="auto"/>
      </w:pPr>
      <w:r>
        <w:sym w:font="Symbol" w:char="F0B7"/>
      </w:r>
      <w:r>
        <w:t xml:space="preserve"> Oncologia </w:t>
      </w:r>
    </w:p>
    <w:p w:rsidR="001B2F30" w:rsidRDefault="001B2F30" w:rsidP="001B2F30">
      <w:pPr>
        <w:autoSpaceDE w:val="0"/>
        <w:autoSpaceDN w:val="0"/>
        <w:adjustRightInd w:val="0"/>
        <w:spacing w:after="0" w:line="240" w:lineRule="auto"/>
      </w:pPr>
      <w:r>
        <w:sym w:font="Symbol" w:char="F0B7"/>
      </w:r>
      <w:r>
        <w:t xml:space="preserve"> Medicina Interna </w:t>
      </w:r>
    </w:p>
    <w:p w:rsidR="001B2F30" w:rsidRDefault="001B2F30" w:rsidP="001B2F30">
      <w:pPr>
        <w:autoSpaceDE w:val="0"/>
        <w:autoSpaceDN w:val="0"/>
        <w:adjustRightInd w:val="0"/>
        <w:spacing w:after="0" w:line="240" w:lineRule="auto"/>
      </w:pPr>
      <w:r>
        <w:sym w:font="Symbol" w:char="F0B7"/>
      </w:r>
      <w:r>
        <w:t xml:space="preserve"> Oculistica </w:t>
      </w:r>
    </w:p>
    <w:p w:rsidR="001B2F30" w:rsidRDefault="001B2F30" w:rsidP="001B2F30">
      <w:pPr>
        <w:autoSpaceDE w:val="0"/>
        <w:autoSpaceDN w:val="0"/>
        <w:adjustRightInd w:val="0"/>
        <w:spacing w:after="0" w:line="240" w:lineRule="auto"/>
      </w:pPr>
      <w:r>
        <w:sym w:font="Symbol" w:char="F0B7"/>
      </w:r>
      <w:r>
        <w:t xml:space="preserve"> </w:t>
      </w:r>
      <w:r w:rsidR="00FE05D4">
        <w:t>R</w:t>
      </w:r>
      <w:r>
        <w:t xml:space="preserve">eumatologia </w:t>
      </w:r>
    </w:p>
    <w:p w:rsidR="001B2F30" w:rsidRDefault="001B2F30" w:rsidP="001B2F30">
      <w:pPr>
        <w:autoSpaceDE w:val="0"/>
        <w:autoSpaceDN w:val="0"/>
        <w:adjustRightInd w:val="0"/>
        <w:spacing w:after="0" w:line="240" w:lineRule="auto"/>
      </w:pPr>
      <w:r>
        <w:sym w:font="Symbol" w:char="F0B7"/>
      </w:r>
      <w:r>
        <w:t xml:space="preserve"> Pediatria </w:t>
      </w:r>
    </w:p>
    <w:p w:rsidR="001B2F30" w:rsidRDefault="001B2F30" w:rsidP="001B2F30">
      <w:pPr>
        <w:autoSpaceDE w:val="0"/>
        <w:autoSpaceDN w:val="0"/>
        <w:adjustRightInd w:val="0"/>
        <w:spacing w:after="0" w:line="240" w:lineRule="auto"/>
      </w:pPr>
      <w:r>
        <w:sym w:font="Symbol" w:char="F0B7"/>
      </w:r>
      <w:r>
        <w:t xml:space="preserve"> Ematologia </w:t>
      </w:r>
    </w:p>
    <w:p w:rsidR="001B2F30" w:rsidRDefault="001B2F30" w:rsidP="001B2F30">
      <w:pPr>
        <w:autoSpaceDE w:val="0"/>
        <w:autoSpaceDN w:val="0"/>
        <w:adjustRightInd w:val="0"/>
        <w:spacing w:after="0" w:line="240" w:lineRule="auto"/>
      </w:pPr>
      <w:r>
        <w:sym w:font="Symbol" w:char="F0B7"/>
      </w:r>
      <w:r>
        <w:t xml:space="preserve"> Psichiatria/Neuropsichiatria </w:t>
      </w:r>
    </w:p>
    <w:p w:rsidR="001B2F30" w:rsidRDefault="001B2F30" w:rsidP="001B2F30">
      <w:pPr>
        <w:autoSpaceDE w:val="0"/>
        <w:autoSpaceDN w:val="0"/>
        <w:adjustRightInd w:val="0"/>
        <w:spacing w:after="0" w:line="240" w:lineRule="auto"/>
      </w:pPr>
      <w:r>
        <w:sym w:font="Symbol" w:char="F0B7"/>
      </w:r>
      <w:r>
        <w:t xml:space="preserve"> Radioterapia</w:t>
      </w:r>
    </w:p>
    <w:p w:rsidR="001B2F30" w:rsidRDefault="001B2F30" w:rsidP="001B2F30">
      <w:pPr>
        <w:autoSpaceDE w:val="0"/>
        <w:autoSpaceDN w:val="0"/>
        <w:adjustRightInd w:val="0"/>
        <w:spacing w:after="0" w:line="240" w:lineRule="auto"/>
      </w:pPr>
    </w:p>
    <w:p w:rsidR="002A1C38" w:rsidRDefault="00D33E0C" w:rsidP="00D33E0C">
      <w:pPr>
        <w:autoSpaceDE w:val="0"/>
        <w:autoSpaceDN w:val="0"/>
        <w:adjustRightInd w:val="0"/>
        <w:spacing w:after="0" w:line="240" w:lineRule="auto"/>
      </w:pPr>
      <w:r>
        <w:t xml:space="preserve">Il medico specialista prescrittore rilascerà al paziente il Piano Terapeutico e la ricetta cartacea RUR (prima prescrizione) con cui il paziente potrà recarsi in farmacia aperta al pubblico. </w:t>
      </w:r>
    </w:p>
    <w:p w:rsidR="00591B37" w:rsidRDefault="00D33E0C" w:rsidP="00D33E0C">
      <w:pPr>
        <w:autoSpaceDE w:val="0"/>
        <w:autoSpaceDN w:val="0"/>
        <w:adjustRightInd w:val="0"/>
        <w:spacing w:after="0" w:line="240" w:lineRule="auto"/>
      </w:pPr>
      <w:r>
        <w:t>Le prescrizioni successive, previste dal Piano Terapeutico, potranno essere effettuate a carico del SSR dal MMG/PLS dell’assistito.</w:t>
      </w:r>
    </w:p>
    <w:p w:rsidR="00591B37" w:rsidRDefault="00591B37" w:rsidP="00D33E0C">
      <w:pPr>
        <w:autoSpaceDE w:val="0"/>
        <w:autoSpaceDN w:val="0"/>
        <w:adjustRightInd w:val="0"/>
        <w:spacing w:after="0" w:line="240" w:lineRule="auto"/>
      </w:pPr>
    </w:p>
    <w:p w:rsidR="00D33E0C" w:rsidRDefault="00591B37" w:rsidP="00D33E0C">
      <w:pPr>
        <w:autoSpaceDE w:val="0"/>
        <w:autoSpaceDN w:val="0"/>
        <w:adjustRightInd w:val="0"/>
        <w:spacing w:after="0" w:line="240" w:lineRule="auto"/>
      </w:pPr>
      <w:r>
        <w:t xml:space="preserve"> Il</w:t>
      </w:r>
      <w:r w:rsidR="00D33E0C">
        <w:t xml:space="preserve"> MMG/PLS:</w:t>
      </w:r>
    </w:p>
    <w:p w:rsidR="00FE05D4" w:rsidRDefault="00FE05D4" w:rsidP="001B2F30">
      <w:pPr>
        <w:autoSpaceDE w:val="0"/>
        <w:autoSpaceDN w:val="0"/>
        <w:adjustRightInd w:val="0"/>
        <w:spacing w:after="0" w:line="240" w:lineRule="auto"/>
      </w:pPr>
    </w:p>
    <w:p w:rsidR="00D33E0C" w:rsidRDefault="00D33E0C" w:rsidP="00D33E0C">
      <w:pPr>
        <w:autoSpaceDE w:val="0"/>
        <w:autoSpaceDN w:val="0"/>
        <w:adjustRightInd w:val="0"/>
      </w:pPr>
      <w:r>
        <w:sym w:font="Symbol" w:char="F0B7"/>
      </w:r>
      <w:r>
        <w:t xml:space="preserve"> Effettua la prescrizione, compilando la ricetta non ripetibile SSN cartacea (RUR) riferita a massimo 30 giorni di terapia sulla base del Piano Terapeutico redatto dal medico specialista;</w:t>
      </w:r>
    </w:p>
    <w:p w:rsidR="00D33E0C" w:rsidRDefault="00D33E0C" w:rsidP="00D33E0C">
      <w:pPr>
        <w:autoSpaceDE w:val="0"/>
        <w:autoSpaceDN w:val="0"/>
        <w:adjustRightInd w:val="0"/>
      </w:pPr>
      <w:r>
        <w:t xml:space="preserve"> </w:t>
      </w:r>
      <w:r>
        <w:sym w:font="Symbol" w:char="F0B7"/>
      </w:r>
      <w:r>
        <w:t xml:space="preserve"> Completa, a fini statistici, </w:t>
      </w:r>
      <w:r w:rsidRPr="00F833F5">
        <w:rPr>
          <w:b/>
        </w:rPr>
        <w:t>la Scheda Raccolta Dati dell’ISS</w:t>
      </w:r>
      <w:r>
        <w:t xml:space="preserve"> dei pazienti trattati con cannabis in modalità web, dopo registrazione sul sito ISS. Qualora il medico, all’atto della prescrizione, non riesca ad avere accesso alla piattaforma ISS, può compilare la Scheda Raccolta Dati cartacea, ma deve provvedere alla sua compilazione sulla piattaforma web appena possibile</w:t>
      </w:r>
      <w:r w:rsidR="00F42A38">
        <w:t xml:space="preserve">. </w:t>
      </w:r>
    </w:p>
    <w:p w:rsidR="00D33E0C" w:rsidRDefault="00D33E0C" w:rsidP="00D33E0C">
      <w:pPr>
        <w:autoSpaceDE w:val="0"/>
        <w:autoSpaceDN w:val="0"/>
        <w:adjustRightInd w:val="0"/>
        <w:spacing w:after="0" w:line="240" w:lineRule="auto"/>
      </w:pPr>
      <w:r>
        <w:sym w:font="Symbol" w:char="F0B7"/>
      </w:r>
      <w:r>
        <w:t xml:space="preserve"> Segnala eventuali reazioni avverse con apposita scheda </w:t>
      </w:r>
      <w:proofErr w:type="gramStart"/>
      <w:r>
        <w:t>dell’ ISS</w:t>
      </w:r>
      <w:proofErr w:type="gramEnd"/>
      <w:r>
        <w:t>.</w:t>
      </w:r>
    </w:p>
    <w:p w:rsidR="00D33E0C" w:rsidRDefault="00D33E0C" w:rsidP="00D33E0C">
      <w:pPr>
        <w:autoSpaceDE w:val="0"/>
        <w:autoSpaceDN w:val="0"/>
        <w:adjustRightInd w:val="0"/>
        <w:spacing w:after="0" w:line="240" w:lineRule="auto"/>
      </w:pPr>
    </w:p>
    <w:p w:rsidR="00D33E0C" w:rsidRDefault="00D33E0C" w:rsidP="00D33E0C">
      <w:pPr>
        <w:autoSpaceDE w:val="0"/>
        <w:autoSpaceDN w:val="0"/>
        <w:adjustRightInd w:val="0"/>
        <w:spacing w:after="0" w:line="240" w:lineRule="auto"/>
      </w:pPr>
      <w:r w:rsidRPr="0064726C">
        <w:rPr>
          <w:b/>
        </w:rPr>
        <w:t>Nel campo “Cognome Nome”</w:t>
      </w:r>
      <w:r>
        <w:t xml:space="preserve"> deve essere inserito il riferimento numerico o alfanumerico assegnato dal medico specialista, presente nel Registro Pazienti e riportato nel Piano Terapeutico</w:t>
      </w:r>
      <w:r w:rsidRPr="00D33E0C">
        <w:t xml:space="preserve">. </w:t>
      </w:r>
      <w:r w:rsidRPr="0064726C">
        <w:rPr>
          <w:u w:val="single"/>
        </w:rPr>
        <w:t>Il codice va utilizzato anche per i successivi rinnovi della ricetta per il paziente medesimo</w:t>
      </w:r>
      <w:r>
        <w:t xml:space="preserve">. </w:t>
      </w:r>
    </w:p>
    <w:p w:rsidR="00D33E0C" w:rsidRDefault="00D33E0C" w:rsidP="00D33E0C">
      <w:pPr>
        <w:autoSpaceDE w:val="0"/>
        <w:autoSpaceDN w:val="0"/>
        <w:adjustRightInd w:val="0"/>
        <w:spacing w:after="0" w:line="240" w:lineRule="auto"/>
      </w:pPr>
      <w:r w:rsidRPr="0064726C">
        <w:rPr>
          <w:b/>
        </w:rPr>
        <w:t>Nel campo “Prescrizione”</w:t>
      </w:r>
      <w:r>
        <w:t xml:space="preserve"> devono essere riportati: </w:t>
      </w:r>
    </w:p>
    <w:p w:rsidR="00D33E0C" w:rsidRDefault="00D33E0C" w:rsidP="00D33E0C">
      <w:pPr>
        <w:autoSpaceDE w:val="0"/>
        <w:autoSpaceDN w:val="0"/>
        <w:adjustRightInd w:val="0"/>
        <w:spacing w:after="0" w:line="240" w:lineRule="auto"/>
      </w:pPr>
      <w:r>
        <w:lastRenderedPageBreak/>
        <w:sym w:font="Symbol" w:char="F0B7"/>
      </w:r>
      <w:r>
        <w:t xml:space="preserve"> Nella prima riga, la dicitura “Cannabis Terapeutica ATC N02BG10” </w:t>
      </w:r>
    </w:p>
    <w:p w:rsidR="00D33E0C" w:rsidRDefault="00D33E0C" w:rsidP="00D33E0C">
      <w:pPr>
        <w:autoSpaceDE w:val="0"/>
        <w:autoSpaceDN w:val="0"/>
        <w:adjustRightInd w:val="0"/>
        <w:spacing w:after="0" w:line="240" w:lineRule="auto"/>
      </w:pPr>
      <w:r>
        <w:sym w:font="Symbol" w:char="F0B7"/>
      </w:r>
      <w:r>
        <w:t xml:space="preserve"> Indicazione della varietà di cannabis (contenuto % di THC e/o CBD) </w:t>
      </w:r>
    </w:p>
    <w:p w:rsidR="00D33E0C" w:rsidRDefault="00D33E0C" w:rsidP="00D33E0C">
      <w:pPr>
        <w:autoSpaceDE w:val="0"/>
        <w:autoSpaceDN w:val="0"/>
        <w:adjustRightInd w:val="0"/>
        <w:spacing w:after="0" w:line="240" w:lineRule="auto"/>
      </w:pPr>
      <w:r>
        <w:sym w:font="Symbol" w:char="F0B7"/>
      </w:r>
      <w:r>
        <w:t xml:space="preserve"> Forma farmaceutica </w:t>
      </w:r>
    </w:p>
    <w:p w:rsidR="00D33E0C" w:rsidRDefault="00D33E0C" w:rsidP="00D33E0C">
      <w:pPr>
        <w:autoSpaceDE w:val="0"/>
        <w:autoSpaceDN w:val="0"/>
        <w:adjustRightInd w:val="0"/>
        <w:spacing w:after="0" w:line="240" w:lineRule="auto"/>
      </w:pPr>
      <w:r>
        <w:sym w:font="Symbol" w:char="F0B7"/>
      </w:r>
      <w:r>
        <w:t xml:space="preserve"> Posologia </w:t>
      </w:r>
    </w:p>
    <w:p w:rsidR="00D33E0C" w:rsidRDefault="00D33E0C" w:rsidP="00D33E0C">
      <w:pPr>
        <w:autoSpaceDE w:val="0"/>
        <w:autoSpaceDN w:val="0"/>
        <w:adjustRightInd w:val="0"/>
        <w:spacing w:after="0" w:line="240" w:lineRule="auto"/>
      </w:pPr>
      <w:r>
        <w:sym w:font="Symbol" w:char="F0B7"/>
      </w:r>
      <w:r>
        <w:t xml:space="preserve"> Modalità di assunzione</w:t>
      </w:r>
      <w:r w:rsidR="00591B37">
        <w:t xml:space="preserve"> (è fortemente consigliato inserire la via di somministrazione specie per la forma farmaceutica “cartine” e “capsule”</w:t>
      </w:r>
      <w:r w:rsidR="00EB6B1C">
        <w:t>)</w:t>
      </w:r>
      <w:r>
        <w:t xml:space="preserve"> </w:t>
      </w:r>
    </w:p>
    <w:p w:rsidR="00D33E0C" w:rsidRDefault="00D33E0C" w:rsidP="00D33E0C">
      <w:pPr>
        <w:autoSpaceDE w:val="0"/>
        <w:autoSpaceDN w:val="0"/>
        <w:adjustRightInd w:val="0"/>
        <w:spacing w:after="0" w:line="240" w:lineRule="auto"/>
      </w:pPr>
      <w:r>
        <w:sym w:font="Symbol" w:char="F0B7"/>
      </w:r>
      <w:r>
        <w:t xml:space="preserve"> Esigenze particolari che giustificano il ricorso alla prescrizione </w:t>
      </w:r>
    </w:p>
    <w:p w:rsidR="00D33E0C" w:rsidRDefault="00D33E0C" w:rsidP="00D33E0C">
      <w:pPr>
        <w:autoSpaceDE w:val="0"/>
        <w:autoSpaceDN w:val="0"/>
        <w:adjustRightInd w:val="0"/>
        <w:spacing w:after="0" w:line="240" w:lineRule="auto"/>
      </w:pPr>
    </w:p>
    <w:p w:rsidR="00D33E0C" w:rsidRDefault="00D33E0C" w:rsidP="00D33E0C">
      <w:pPr>
        <w:autoSpaceDE w:val="0"/>
        <w:autoSpaceDN w:val="0"/>
        <w:adjustRightInd w:val="0"/>
        <w:spacing w:after="0" w:line="240" w:lineRule="auto"/>
      </w:pPr>
      <w:r w:rsidRPr="0064726C">
        <w:rPr>
          <w:u w:val="single"/>
        </w:rPr>
        <w:t>La validità della ricetta è pari a trenta (30) giorni dalla data di compilazione</w:t>
      </w:r>
      <w:r>
        <w:t>, per un fabbisogno massimo non superiore a trenta (30) giorni di trattamento.</w:t>
      </w:r>
    </w:p>
    <w:p w:rsidR="00D33E0C" w:rsidRDefault="00D33E0C" w:rsidP="00D33E0C">
      <w:pPr>
        <w:autoSpaceDE w:val="0"/>
        <w:autoSpaceDN w:val="0"/>
        <w:adjustRightInd w:val="0"/>
        <w:spacing w:after="0" w:line="240" w:lineRule="auto"/>
      </w:pPr>
      <w:r>
        <w:t xml:space="preserve"> Nel campo “Codice esenzione” devono essere riportati i codici sopra riportati. </w:t>
      </w:r>
    </w:p>
    <w:p w:rsidR="00D33E0C" w:rsidRDefault="00D33E0C" w:rsidP="00D33E0C">
      <w:pPr>
        <w:autoSpaceDE w:val="0"/>
        <w:autoSpaceDN w:val="0"/>
        <w:adjustRightInd w:val="0"/>
        <w:spacing w:after="0" w:line="240" w:lineRule="auto"/>
      </w:pPr>
    </w:p>
    <w:p w:rsidR="00D33E0C" w:rsidRDefault="00D33E0C" w:rsidP="00D33E0C">
      <w:pPr>
        <w:autoSpaceDE w:val="0"/>
        <w:autoSpaceDN w:val="0"/>
        <w:adjustRightInd w:val="0"/>
        <w:spacing w:after="0" w:line="240" w:lineRule="auto"/>
      </w:pPr>
      <w:r>
        <w:t>La via inalatoria prevede l'utilizzo di speciali apparecchi riscaldatori/vaporizzatori (</w:t>
      </w:r>
      <w:r w:rsidRPr="00ED08A5">
        <w:rPr>
          <w:b/>
          <w:u w:val="single"/>
        </w:rPr>
        <w:t>non a carico del S.S.R.</w:t>
      </w:r>
      <w:r>
        <w:t>). Non sono autorizzati usi di forme farmaceutiche e vie di somministrazione differenti.</w:t>
      </w:r>
    </w:p>
    <w:p w:rsidR="002A1C38" w:rsidRDefault="002A1C38" w:rsidP="00D33E0C">
      <w:pPr>
        <w:autoSpaceDE w:val="0"/>
        <w:autoSpaceDN w:val="0"/>
        <w:adjustRightInd w:val="0"/>
        <w:spacing w:after="0" w:line="240" w:lineRule="auto"/>
      </w:pPr>
    </w:p>
    <w:p w:rsidR="00ED08A5" w:rsidRDefault="00ED08A5" w:rsidP="001B2F30">
      <w:pPr>
        <w:autoSpaceDE w:val="0"/>
        <w:autoSpaceDN w:val="0"/>
        <w:adjustRightInd w:val="0"/>
        <w:spacing w:after="0" w:line="240" w:lineRule="auto"/>
      </w:pPr>
      <w:r>
        <w:rPr>
          <w:noProof/>
          <w:lang w:val="en-US"/>
        </w:rPr>
        <w:drawing>
          <wp:inline distT="0" distB="0" distL="0" distR="0">
            <wp:extent cx="5781675" cy="6667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001.jpg"/>
                    <pic:cNvPicPr/>
                  </pic:nvPicPr>
                  <pic:blipFill>
                    <a:blip r:embed="rId5" cstate="print">
                      <a:extLst>
                        <a:ext uri="{28A0092B-C50C-407E-A947-70E740481C1C}">
                          <a14:useLocalDpi xmlns:a14="http://schemas.microsoft.com/office/drawing/2010/main" val="0"/>
                        </a:ext>
                      </a:extLst>
                    </a:blip>
                    <a:srcRect t="7701" r="5599" b="15291"/>
                    <a:stretch>
                      <a:fillRect/>
                    </a:stretch>
                  </pic:blipFill>
                  <pic:spPr>
                    <a:xfrm>
                      <a:off x="0" y="0"/>
                      <a:ext cx="5781675" cy="6667500"/>
                    </a:xfrm>
                    <a:prstGeom prst="rect">
                      <a:avLst/>
                    </a:prstGeom>
                  </pic:spPr>
                </pic:pic>
              </a:graphicData>
            </a:graphic>
          </wp:inline>
        </w:drawing>
      </w:r>
    </w:p>
    <w:sectPr w:rsidR="00ED08A5" w:rsidSect="002A1C38">
      <w:pgSz w:w="11906" w:h="16838"/>
      <w:pgMar w:top="56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81FF2"/>
    <w:multiLevelType w:val="hybridMultilevel"/>
    <w:tmpl w:val="DF06AD0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01D"/>
    <w:rsid w:val="001B2F30"/>
    <w:rsid w:val="002A1C38"/>
    <w:rsid w:val="00481A52"/>
    <w:rsid w:val="004A60E4"/>
    <w:rsid w:val="00591B37"/>
    <w:rsid w:val="0064726C"/>
    <w:rsid w:val="006C5202"/>
    <w:rsid w:val="006E601D"/>
    <w:rsid w:val="007038E2"/>
    <w:rsid w:val="0078057F"/>
    <w:rsid w:val="008A12D4"/>
    <w:rsid w:val="009A7BD9"/>
    <w:rsid w:val="00C824DC"/>
    <w:rsid w:val="00D33E0C"/>
    <w:rsid w:val="00D543B2"/>
    <w:rsid w:val="00D67A5C"/>
    <w:rsid w:val="00EB6B1C"/>
    <w:rsid w:val="00ED08A5"/>
    <w:rsid w:val="00F42A38"/>
    <w:rsid w:val="00F833F5"/>
    <w:rsid w:val="00FE05D4"/>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5A3D1-084F-41F8-ADAF-ACDC2E44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7B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E0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E05D4"/>
    <w:pPr>
      <w:ind w:left="720"/>
      <w:contextualSpacing/>
    </w:pPr>
  </w:style>
  <w:style w:type="paragraph" w:styleId="Testofumetto">
    <w:name w:val="Balloon Text"/>
    <w:basedOn w:val="Normale"/>
    <w:link w:val="TestofumettoCarattere"/>
    <w:uiPriority w:val="99"/>
    <w:semiHidden/>
    <w:unhideWhenUsed/>
    <w:rsid w:val="00D33E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Pirrone</dc:creator>
  <cp:lastModifiedBy>Gaia andrea Vairani</cp:lastModifiedBy>
  <cp:revision>2</cp:revision>
  <dcterms:created xsi:type="dcterms:W3CDTF">2024-02-05T10:40:00Z</dcterms:created>
  <dcterms:modified xsi:type="dcterms:W3CDTF">2024-02-05T10:40:00Z</dcterms:modified>
</cp:coreProperties>
</file>