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0C53E" w14:textId="77777777" w:rsidR="00420246" w:rsidRPr="003D0822" w:rsidRDefault="00420246" w:rsidP="003D0822">
      <w:pPr>
        <w:jc w:val="both"/>
        <w:rPr>
          <w:rFonts w:ascii="Open Sans" w:hAnsi="Open Sans" w:cs="Open Sans"/>
          <w:sz w:val="24"/>
          <w:szCs w:val="24"/>
        </w:rPr>
      </w:pPr>
      <w:bookmarkStart w:id="0" w:name="_GoBack"/>
      <w:bookmarkEnd w:id="0"/>
    </w:p>
    <w:p w14:paraId="1024C2D2" w14:textId="24EFE249" w:rsidR="00271FC5" w:rsidRPr="0098053C" w:rsidRDefault="00271FC5" w:rsidP="003D0822">
      <w:pPr>
        <w:jc w:val="both"/>
        <w:rPr>
          <w:rFonts w:ascii="Open Sans" w:hAnsi="Open Sans" w:cs="Open Sans"/>
          <w:b/>
          <w:bCs/>
          <w:sz w:val="24"/>
          <w:szCs w:val="24"/>
        </w:rPr>
      </w:pPr>
      <w:r w:rsidRPr="0098053C">
        <w:rPr>
          <w:rFonts w:ascii="Open Sans" w:hAnsi="Open Sans" w:cs="Open Sans"/>
          <w:b/>
          <w:bCs/>
          <w:sz w:val="24"/>
          <w:szCs w:val="24"/>
        </w:rPr>
        <w:t xml:space="preserve">Allegato </w:t>
      </w:r>
    </w:p>
    <w:p w14:paraId="7E382897" w14:textId="76891734" w:rsidR="00271FC5" w:rsidRPr="003D0822" w:rsidRDefault="00271FC5" w:rsidP="003D0822">
      <w:pPr>
        <w:jc w:val="both"/>
        <w:rPr>
          <w:rFonts w:ascii="Open Sans" w:hAnsi="Open Sans" w:cs="Open Sans"/>
          <w:sz w:val="24"/>
          <w:szCs w:val="24"/>
        </w:rPr>
      </w:pPr>
      <w:r w:rsidRPr="003D0822">
        <w:rPr>
          <w:rFonts w:ascii="Open Sans" w:hAnsi="Open Sans" w:cs="Open Sans"/>
          <w:sz w:val="24"/>
          <w:szCs w:val="24"/>
        </w:rPr>
        <w:t xml:space="preserve">DI seguito alcune indicazioni per le ATS in merito alla gestione </w:t>
      </w:r>
      <w:r w:rsidR="00FB05FD">
        <w:rPr>
          <w:rFonts w:ascii="Open Sans" w:hAnsi="Open Sans" w:cs="Open Sans"/>
          <w:sz w:val="24"/>
          <w:szCs w:val="24"/>
        </w:rPr>
        <w:t xml:space="preserve">delle richieste in tema di </w:t>
      </w:r>
      <w:r w:rsidR="00FB05FD" w:rsidRPr="00FB05FD">
        <w:rPr>
          <w:rFonts w:ascii="Open Sans" w:hAnsi="Open Sans" w:cs="Open Sans"/>
          <w:sz w:val="24"/>
          <w:szCs w:val="24"/>
        </w:rPr>
        <w:t>studi professionali di psicologia e psicoterapia</w:t>
      </w:r>
    </w:p>
    <w:p w14:paraId="4E4C905B" w14:textId="3775791F"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 xml:space="preserve">Requisiti Strutturali Generali </w:t>
      </w:r>
    </w:p>
    <w:p w14:paraId="6A4ADE94"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I locali possono avere una destinazione d’uso residenziale o commerciale</w:t>
      </w:r>
    </w:p>
    <w:p w14:paraId="5549C6B4"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I locali devono essere stati dichiarati agibili (certificato comunale o attestazione del professionista abilitato)</w:t>
      </w:r>
    </w:p>
    <w:p w14:paraId="0A58D9A9"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L’agibilità presuppone il possesso di tutti i requisiti strutturali e impiantistici, urbanistici, edilizi, in materia di barriere architettoniche, igienico-sanitari e pertanto (in assenza di interventi successivi) ha valore per l’esercizio dell’attività professionale.</w:t>
      </w:r>
    </w:p>
    <w:p w14:paraId="25E685E4" w14:textId="77777777" w:rsidR="00271FC5" w:rsidRPr="003D0822" w:rsidRDefault="00271FC5" w:rsidP="003D0822">
      <w:pPr>
        <w:pStyle w:val="NormaleWeb"/>
        <w:spacing w:after="0"/>
        <w:jc w:val="both"/>
        <w:rPr>
          <w:rFonts w:ascii="Open Sans" w:hAnsi="Open Sans" w:cs="Open Sans"/>
        </w:rPr>
      </w:pPr>
    </w:p>
    <w:p w14:paraId="2144C6D7" w14:textId="77777777" w:rsidR="00271FC5" w:rsidRPr="003D0822" w:rsidRDefault="00271FC5" w:rsidP="003D0822">
      <w:pPr>
        <w:pStyle w:val="NormaleWeb"/>
        <w:spacing w:after="0"/>
        <w:jc w:val="both"/>
        <w:rPr>
          <w:rFonts w:ascii="Open Sans" w:hAnsi="Open Sans" w:cs="Open Sans"/>
        </w:rPr>
      </w:pPr>
    </w:p>
    <w:p w14:paraId="0DA2DBF3" w14:textId="299E4214"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Requisiti strutturali specifici</w:t>
      </w:r>
    </w:p>
    <w:p w14:paraId="3FED52F4" w14:textId="77777777"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xml:space="preserve">Devono essere presenti: </w:t>
      </w:r>
    </w:p>
    <w:p w14:paraId="79249147" w14:textId="77777777" w:rsidR="00271FC5" w:rsidRPr="003D0822" w:rsidRDefault="00271FC5" w:rsidP="003D0822">
      <w:pPr>
        <w:pStyle w:val="NormaleWeb"/>
        <w:spacing w:after="0"/>
        <w:jc w:val="both"/>
        <w:rPr>
          <w:rFonts w:ascii="Open Sans" w:hAnsi="Open Sans" w:cs="Open Sans"/>
        </w:rPr>
      </w:pPr>
    </w:p>
    <w:p w14:paraId="1BAE3BDB" w14:textId="2A8D4308"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xml:space="preserve">- una sala colloqui/visita di superficie adeguata per l’erogazione della prestazione prevista e tale da garantire il rispetto della privacy anche mediante adeguato isolamento acustico; </w:t>
      </w:r>
    </w:p>
    <w:p w14:paraId="7964731B" w14:textId="77777777" w:rsidR="00271FC5" w:rsidRPr="003D0822" w:rsidRDefault="00271FC5" w:rsidP="003D0822">
      <w:pPr>
        <w:spacing w:after="0" w:line="240" w:lineRule="auto"/>
        <w:jc w:val="both"/>
        <w:textAlignment w:val="baseline"/>
        <w:rPr>
          <w:rFonts w:ascii="Open Sans" w:eastAsia="Times New Roman" w:hAnsi="Open Sans" w:cs="Open Sans"/>
          <w:i/>
          <w:iCs/>
          <w:color w:val="000000"/>
          <w:sz w:val="24"/>
          <w:szCs w:val="24"/>
          <w:lang w:eastAsia="it-IT"/>
        </w:rPr>
      </w:pPr>
    </w:p>
    <w:p w14:paraId="03962D17" w14:textId="26029B9F" w:rsidR="00844BEE" w:rsidRDefault="00271FC5" w:rsidP="003D0822">
      <w:pPr>
        <w:pStyle w:val="NormaleWeb"/>
        <w:spacing w:after="0"/>
        <w:jc w:val="both"/>
        <w:rPr>
          <w:rFonts w:ascii="Open Sans" w:hAnsi="Open Sans" w:cs="Open Sans"/>
          <w:i/>
          <w:iCs/>
          <w:color w:val="000000"/>
        </w:rPr>
      </w:pPr>
      <w:r w:rsidRPr="003D0822">
        <w:rPr>
          <w:rFonts w:ascii="Open Sans" w:hAnsi="Open Sans" w:cs="Open Sans"/>
        </w:rPr>
        <w:t>- un</w:t>
      </w:r>
      <w:r w:rsidR="00D4447E">
        <w:rPr>
          <w:rFonts w:ascii="Open Sans" w:hAnsi="Open Sans" w:cs="Open Sans"/>
        </w:rPr>
        <w:t>o</w:t>
      </w:r>
      <w:r w:rsidRPr="003D0822">
        <w:rPr>
          <w:rFonts w:ascii="Open Sans" w:hAnsi="Open Sans" w:cs="Open Sans"/>
        </w:rPr>
        <w:t xml:space="preserve"> </w:t>
      </w:r>
      <w:r w:rsidR="00BA2047">
        <w:rPr>
          <w:rFonts w:ascii="Open Sans" w:hAnsi="Open Sans" w:cs="Open Sans"/>
        </w:rPr>
        <w:t>spazio/</w:t>
      </w:r>
      <w:r w:rsidRPr="003D0822">
        <w:rPr>
          <w:rFonts w:ascii="Open Sans" w:hAnsi="Open Sans" w:cs="Open Sans"/>
        </w:rPr>
        <w:t>locale per l’attesa</w:t>
      </w:r>
      <w:r w:rsidR="00BA2047">
        <w:rPr>
          <w:rFonts w:ascii="Open Sans" w:hAnsi="Open Sans" w:cs="Open Sans"/>
        </w:rPr>
        <w:t xml:space="preserve"> </w:t>
      </w:r>
      <w:r w:rsidR="00BD50B9">
        <w:rPr>
          <w:rFonts w:ascii="Open Sans" w:hAnsi="Open Sans" w:cs="Open Sans"/>
        </w:rPr>
        <w:t xml:space="preserve">se necessario in base alle </w:t>
      </w:r>
      <w:r w:rsidR="00BA2047">
        <w:rPr>
          <w:rFonts w:ascii="Open Sans" w:hAnsi="Open Sans" w:cs="Open Sans"/>
        </w:rPr>
        <w:t xml:space="preserve">modalità di ricevimento ed organizzazione </w:t>
      </w:r>
      <w:r w:rsidR="00D4447E">
        <w:rPr>
          <w:rFonts w:ascii="Open Sans" w:hAnsi="Open Sans" w:cs="Open Sans"/>
        </w:rPr>
        <w:t>del lavoro</w:t>
      </w:r>
      <w:r w:rsidR="00630EDB">
        <w:rPr>
          <w:rFonts w:ascii="Open Sans" w:hAnsi="Open Sans" w:cs="Open Sans"/>
        </w:rPr>
        <w:t xml:space="preserve"> </w:t>
      </w:r>
      <w:r w:rsidR="00BD50B9">
        <w:rPr>
          <w:rFonts w:ascii="Open Sans" w:hAnsi="Open Sans" w:cs="Open Sans"/>
        </w:rPr>
        <w:t xml:space="preserve">in </w:t>
      </w:r>
      <w:r w:rsidR="00547254">
        <w:rPr>
          <w:rFonts w:ascii="Open Sans" w:hAnsi="Open Sans" w:cs="Open Sans"/>
        </w:rPr>
        <w:t>ogni</w:t>
      </w:r>
      <w:r w:rsidR="00BD50B9">
        <w:rPr>
          <w:rFonts w:ascii="Open Sans" w:hAnsi="Open Sans" w:cs="Open Sans"/>
        </w:rPr>
        <w:t xml:space="preserve"> caso garantendo </w:t>
      </w:r>
      <w:r w:rsidR="00630EDB">
        <w:rPr>
          <w:rFonts w:ascii="Open Sans" w:hAnsi="Open Sans" w:cs="Open Sans"/>
        </w:rPr>
        <w:t xml:space="preserve">rispetto della privacy e dell’accoglienza dei </w:t>
      </w:r>
      <w:r w:rsidR="00BD50B9">
        <w:rPr>
          <w:rFonts w:ascii="Open Sans" w:hAnsi="Open Sans" w:cs="Open Sans"/>
        </w:rPr>
        <w:t>pazienti</w:t>
      </w:r>
      <w:r w:rsidRPr="003D0822">
        <w:rPr>
          <w:rFonts w:ascii="Open Sans" w:hAnsi="Open Sans" w:cs="Open Sans"/>
        </w:rPr>
        <w:t>;</w:t>
      </w:r>
      <w:r w:rsidR="00844BEE" w:rsidRPr="00844BEE">
        <w:rPr>
          <w:rFonts w:ascii="Open Sans" w:hAnsi="Open Sans" w:cs="Open Sans"/>
          <w:i/>
          <w:iCs/>
          <w:color w:val="000000"/>
        </w:rPr>
        <w:t xml:space="preserve"> </w:t>
      </w:r>
    </w:p>
    <w:p w14:paraId="6D524336" w14:textId="77777777" w:rsidR="00271FC5" w:rsidRPr="003D0822" w:rsidRDefault="00271FC5" w:rsidP="003D0822">
      <w:pPr>
        <w:pStyle w:val="NormaleWeb"/>
        <w:spacing w:after="0"/>
        <w:jc w:val="both"/>
        <w:rPr>
          <w:rFonts w:ascii="Open Sans" w:hAnsi="Open Sans" w:cs="Open Sans"/>
        </w:rPr>
      </w:pPr>
    </w:p>
    <w:p w14:paraId="74E4D935" w14:textId="1E5C00F4"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xml:space="preserve">- un servizio igienico accessibile sia per il/la professionista sia per l’utenza. L’accesso al servizio igienico </w:t>
      </w:r>
      <w:r w:rsidR="00664E24">
        <w:rPr>
          <w:rFonts w:ascii="Open Sans" w:hAnsi="Open Sans" w:cs="Open Sans"/>
        </w:rPr>
        <w:t xml:space="preserve"> </w:t>
      </w:r>
      <w:r w:rsidRPr="003D0822">
        <w:rPr>
          <w:rFonts w:ascii="Open Sans" w:hAnsi="Open Sans" w:cs="Open Sans"/>
        </w:rPr>
        <w:t xml:space="preserve"> deve </w:t>
      </w:r>
      <w:r w:rsidR="00664E24">
        <w:rPr>
          <w:rFonts w:ascii="Open Sans" w:hAnsi="Open Sans" w:cs="Open Sans"/>
        </w:rPr>
        <w:t xml:space="preserve">essere sempre disimpegnato </w:t>
      </w:r>
      <w:r w:rsidR="00664E24" w:rsidRPr="003D0822">
        <w:rPr>
          <w:rFonts w:ascii="Open Sans" w:hAnsi="Open Sans" w:cs="Open Sans"/>
        </w:rPr>
        <w:t>tramite antibagno</w:t>
      </w:r>
      <w:r w:rsidR="00917B74">
        <w:rPr>
          <w:rFonts w:ascii="Open Sans" w:hAnsi="Open Sans" w:cs="Open Sans"/>
        </w:rPr>
        <w:t xml:space="preserve"> e </w:t>
      </w:r>
      <w:r w:rsidR="00752067">
        <w:rPr>
          <w:rFonts w:ascii="Open Sans" w:hAnsi="Open Sans" w:cs="Open Sans"/>
        </w:rPr>
        <w:t>l’</w:t>
      </w:r>
      <w:r w:rsidR="00664E24">
        <w:rPr>
          <w:rFonts w:ascii="Open Sans" w:hAnsi="Open Sans" w:cs="Open Sans"/>
        </w:rPr>
        <w:t xml:space="preserve">antibagno </w:t>
      </w:r>
      <w:r w:rsidR="00917B74">
        <w:rPr>
          <w:rFonts w:ascii="Open Sans" w:hAnsi="Open Sans" w:cs="Open Sans"/>
        </w:rPr>
        <w:t>deve essere accessibile dallo spazio di attesa</w:t>
      </w:r>
      <w:r w:rsidR="007A1366">
        <w:rPr>
          <w:rFonts w:ascii="Open Sans" w:hAnsi="Open Sans" w:cs="Open Sans"/>
        </w:rPr>
        <w:t xml:space="preserve"> ove </w:t>
      </w:r>
      <w:r w:rsidR="00887677">
        <w:rPr>
          <w:rFonts w:ascii="Open Sans" w:hAnsi="Open Sans" w:cs="Open Sans"/>
        </w:rPr>
        <w:t>presente</w:t>
      </w:r>
      <w:r w:rsidRPr="003D0822">
        <w:rPr>
          <w:rFonts w:ascii="Open Sans" w:hAnsi="Open Sans" w:cs="Open Sans"/>
        </w:rPr>
        <w:t>;</w:t>
      </w:r>
    </w:p>
    <w:p w14:paraId="4E37D942" w14:textId="77777777" w:rsidR="00271FC5" w:rsidRPr="003D0822" w:rsidRDefault="00271FC5" w:rsidP="003D0822">
      <w:pPr>
        <w:pStyle w:val="NormaleWeb"/>
        <w:spacing w:after="0"/>
        <w:jc w:val="both"/>
        <w:rPr>
          <w:rFonts w:ascii="Open Sans" w:hAnsi="Open Sans" w:cs="Open Sans"/>
        </w:rPr>
      </w:pPr>
    </w:p>
    <w:p w14:paraId="0A6DB8D3" w14:textId="5F1AE721"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i locali devono avere idonea aerazione naturale o, in alternativa, idoneo sistema di ricambio dell’aria;</w:t>
      </w:r>
    </w:p>
    <w:p w14:paraId="79FC0BD1" w14:textId="77777777" w:rsidR="00271FC5" w:rsidRPr="003D0822" w:rsidRDefault="00271FC5" w:rsidP="003D0822">
      <w:pPr>
        <w:pStyle w:val="NormaleWeb"/>
        <w:spacing w:after="0"/>
        <w:jc w:val="both"/>
        <w:rPr>
          <w:rFonts w:ascii="Open Sans" w:hAnsi="Open Sans" w:cs="Open Sans"/>
        </w:rPr>
      </w:pPr>
    </w:p>
    <w:p w14:paraId="2E581FCA" w14:textId="1E9A6DE4" w:rsidR="00271FC5" w:rsidRPr="003D0822" w:rsidRDefault="00271FC5" w:rsidP="003D0822">
      <w:pPr>
        <w:pStyle w:val="NormaleWeb"/>
        <w:spacing w:after="0"/>
        <w:jc w:val="both"/>
        <w:rPr>
          <w:rFonts w:ascii="Open Sans" w:hAnsi="Open Sans" w:cs="Open Sans"/>
        </w:rPr>
      </w:pPr>
      <w:r w:rsidRPr="003D0822">
        <w:rPr>
          <w:rFonts w:ascii="Open Sans" w:hAnsi="Open Sans" w:cs="Open Sans"/>
        </w:rPr>
        <w:t>- l’arredo deve essere adeguato all’attività svolta e garantire una facile pulizia;</w:t>
      </w:r>
    </w:p>
    <w:p w14:paraId="3DA3A093" w14:textId="77777777" w:rsidR="00271FC5" w:rsidRPr="0098053C" w:rsidRDefault="00271FC5" w:rsidP="003D0822">
      <w:pPr>
        <w:pStyle w:val="NormaleWeb"/>
        <w:spacing w:after="0"/>
        <w:jc w:val="both"/>
        <w:rPr>
          <w:rFonts w:ascii="Open Sans" w:hAnsi="Open Sans" w:cs="Open Sans"/>
        </w:rPr>
      </w:pPr>
    </w:p>
    <w:p w14:paraId="05C85783" w14:textId="63E2D841" w:rsidR="00271FC5" w:rsidRPr="0098053C" w:rsidRDefault="00271FC5" w:rsidP="003D0822">
      <w:pPr>
        <w:pStyle w:val="NormaleWeb"/>
        <w:spacing w:after="0"/>
        <w:jc w:val="both"/>
        <w:rPr>
          <w:rFonts w:ascii="Open Sans" w:hAnsi="Open Sans" w:cs="Open Sans"/>
        </w:rPr>
      </w:pPr>
      <w:r w:rsidRPr="0098053C">
        <w:rPr>
          <w:rFonts w:ascii="Open Sans" w:hAnsi="Open Sans" w:cs="Open Sans"/>
        </w:rPr>
        <w:t>- Igiene delle mani e igienizzazione delle superfici</w:t>
      </w:r>
      <w:r w:rsidR="00844BEE" w:rsidRPr="0098053C">
        <w:rPr>
          <w:rFonts w:ascii="Open Sans" w:hAnsi="Open Sans" w:cs="Open Sans"/>
        </w:rPr>
        <w:t xml:space="preserve"> come da </w:t>
      </w:r>
      <w:r w:rsidRPr="0098053C">
        <w:rPr>
          <w:rFonts w:ascii="Open Sans" w:hAnsi="Open Sans" w:cs="Open Sans"/>
        </w:rPr>
        <w:t>nota Regionale Prot. 55362/22 del 17/05/2022</w:t>
      </w:r>
      <w:r w:rsidR="00844BEE" w:rsidRPr="0098053C">
        <w:rPr>
          <w:rFonts w:ascii="Open Sans" w:hAnsi="Open Sans" w:cs="Open Sans"/>
        </w:rPr>
        <w:t xml:space="preserve">. </w:t>
      </w:r>
    </w:p>
    <w:p w14:paraId="22F58012" w14:textId="77777777" w:rsidR="00271FC5" w:rsidRPr="003D0822" w:rsidRDefault="00271FC5" w:rsidP="003D0822">
      <w:pPr>
        <w:pStyle w:val="NormaleWeb"/>
        <w:spacing w:after="0"/>
        <w:jc w:val="both"/>
        <w:rPr>
          <w:rFonts w:ascii="Open Sans" w:hAnsi="Open Sans" w:cs="Open Sans"/>
        </w:rPr>
      </w:pPr>
    </w:p>
    <w:p w14:paraId="6E52535C" w14:textId="77777777" w:rsidR="00271FC5" w:rsidRDefault="00271FC5" w:rsidP="003D0822">
      <w:pPr>
        <w:pStyle w:val="NormaleWeb"/>
        <w:spacing w:after="0"/>
        <w:jc w:val="both"/>
        <w:rPr>
          <w:rFonts w:ascii="Open Sans" w:hAnsi="Open Sans" w:cs="Open Sans"/>
        </w:rPr>
      </w:pPr>
    </w:p>
    <w:p w14:paraId="092DDDC0" w14:textId="77777777" w:rsidR="00BB68CD" w:rsidRDefault="00BB68CD" w:rsidP="003D0822">
      <w:pPr>
        <w:pStyle w:val="NormaleWeb"/>
        <w:spacing w:after="0"/>
        <w:jc w:val="both"/>
        <w:rPr>
          <w:rFonts w:ascii="Open Sans" w:hAnsi="Open Sans" w:cs="Open Sans"/>
        </w:rPr>
      </w:pPr>
    </w:p>
    <w:p w14:paraId="142889AE" w14:textId="77777777" w:rsidR="00BB68CD" w:rsidRDefault="00BB68CD" w:rsidP="003D0822">
      <w:pPr>
        <w:pStyle w:val="NormaleWeb"/>
        <w:spacing w:after="0"/>
        <w:jc w:val="both"/>
        <w:rPr>
          <w:rFonts w:ascii="Open Sans" w:hAnsi="Open Sans" w:cs="Open Sans"/>
        </w:rPr>
      </w:pPr>
    </w:p>
    <w:p w14:paraId="300D0275" w14:textId="77777777" w:rsidR="00BB68CD" w:rsidRPr="003D0822" w:rsidRDefault="00BB68CD" w:rsidP="003D0822">
      <w:pPr>
        <w:pStyle w:val="NormaleWeb"/>
        <w:spacing w:after="0"/>
        <w:jc w:val="both"/>
        <w:rPr>
          <w:rFonts w:ascii="Open Sans" w:hAnsi="Open Sans" w:cs="Open Sans"/>
        </w:rPr>
      </w:pPr>
    </w:p>
    <w:p w14:paraId="71D1E8DF" w14:textId="21F5E888"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Comunicazione Inizio attività</w:t>
      </w:r>
    </w:p>
    <w:p w14:paraId="1CDF9A44" w14:textId="65ACCFD2" w:rsidR="00271FC5" w:rsidRPr="003D0822" w:rsidRDefault="00271FC5" w:rsidP="003D0822">
      <w:pPr>
        <w:pStyle w:val="NormaleWeb"/>
        <w:jc w:val="both"/>
        <w:rPr>
          <w:rFonts w:ascii="Open Sans" w:hAnsi="Open Sans" w:cs="Open Sans"/>
        </w:rPr>
      </w:pPr>
      <w:r w:rsidRPr="003D0822">
        <w:rPr>
          <w:rFonts w:ascii="Open Sans" w:hAnsi="Open Sans" w:cs="Open Sans"/>
        </w:rPr>
        <w:lastRenderedPageBreak/>
        <w:t xml:space="preserve">L’inizio dell’attività presuppone la comunicazione di cui al punto 2 della </w:t>
      </w:r>
      <w:r w:rsidR="00FB05FD">
        <w:rPr>
          <w:rFonts w:ascii="Open Sans" w:hAnsi="Open Sans" w:cs="Open Sans"/>
        </w:rPr>
        <w:t>DGR</w:t>
      </w:r>
      <w:r w:rsidRPr="003D0822">
        <w:rPr>
          <w:rFonts w:ascii="Open Sans" w:hAnsi="Open Sans" w:cs="Open Sans"/>
        </w:rPr>
        <w:t xml:space="preserve"> 5724/2001 secondo la modulistica prevista dall’ATS di ubicazione dello studio</w:t>
      </w:r>
    </w:p>
    <w:p w14:paraId="492DE1DE"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Nello stesso studio possono operare più psicologi. </w:t>
      </w:r>
    </w:p>
    <w:p w14:paraId="003EE036"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In caso di prima apertura dello studio, la comunicazione di inizio attività può essere fatta da un solo professionista, con elenco dei colleghi operanti nello stesso studio. Ogni professionista che si aggiunge successivamente deve fare la comunicazione.  </w:t>
      </w:r>
    </w:p>
    <w:p w14:paraId="072C33F0"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Per l’erogazione delle prestazioni proprie di un’equipe DSA e solo per l’accertamento di diagnosi di DSA la comunicazione viene fatta dal responsabile dell’equipe che indica anche i nomi degli altri professionisti.</w:t>
      </w:r>
    </w:p>
    <w:p w14:paraId="45D13A22" w14:textId="77777777" w:rsidR="00271FC5" w:rsidRPr="003D0822" w:rsidRDefault="00271FC5" w:rsidP="003D0822">
      <w:pPr>
        <w:pStyle w:val="NormaleWeb"/>
        <w:jc w:val="both"/>
        <w:rPr>
          <w:rFonts w:ascii="Open Sans" w:hAnsi="Open Sans" w:cs="Open Sans"/>
        </w:rPr>
      </w:pPr>
      <w:r w:rsidRPr="003D0822">
        <w:rPr>
          <w:rFonts w:ascii="Open Sans" w:hAnsi="Open Sans" w:cs="Open Sans"/>
        </w:rPr>
        <w:t xml:space="preserve"> (vedi anche nota regionale prot. n. 0023204 del 30/05/2022)</w:t>
      </w:r>
    </w:p>
    <w:p w14:paraId="06AFF832" w14:textId="7BE5EBAA"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 xml:space="preserve">Associazione tra professionisti. </w:t>
      </w:r>
      <w:r w:rsidR="0098053C">
        <w:rPr>
          <w:rFonts w:ascii="Open Sans" w:hAnsi="Open Sans" w:cs="Open Sans"/>
          <w:b/>
          <w:bCs/>
        </w:rPr>
        <w:t xml:space="preserve"> </w:t>
      </w:r>
    </w:p>
    <w:p w14:paraId="27D15628" w14:textId="01F72300" w:rsidR="00271FC5" w:rsidRPr="003D0822" w:rsidRDefault="0098053C" w:rsidP="003D0822">
      <w:pPr>
        <w:pStyle w:val="NormaleWeb"/>
        <w:jc w:val="both"/>
        <w:rPr>
          <w:rFonts w:ascii="Open Sans" w:hAnsi="Open Sans" w:cs="Open Sans"/>
          <w:i/>
          <w:iCs/>
        </w:rPr>
      </w:pPr>
      <w:r>
        <w:rPr>
          <w:rFonts w:ascii="Open Sans" w:hAnsi="Open Sans" w:cs="Open Sans"/>
        </w:rPr>
        <w:t xml:space="preserve">Nelle more di ulteriori indicazioni si rimanda </w:t>
      </w:r>
      <w:r w:rsidR="00271FC5" w:rsidRPr="003D0822">
        <w:rPr>
          <w:rFonts w:ascii="Open Sans" w:hAnsi="Open Sans" w:cs="Open Sans"/>
        </w:rPr>
        <w:t>in materia alla</w:t>
      </w:r>
      <w:r w:rsidR="00271FC5" w:rsidRPr="0098053C">
        <w:rPr>
          <w:rFonts w:ascii="Open Sans" w:hAnsi="Open Sans" w:cs="Open Sans"/>
        </w:rPr>
        <w:t xml:space="preserve"> sentenza del Consiglio di Stato n. 23/2017 </w:t>
      </w:r>
      <w:r w:rsidR="00271FC5" w:rsidRPr="0098053C">
        <w:rPr>
          <w:rFonts w:ascii="Open Sans" w:hAnsi="Open Sans" w:cs="Open Sans"/>
          <w:i/>
          <w:iCs/>
        </w:rPr>
        <w:t xml:space="preserve">(vedi </w:t>
      </w:r>
      <w:proofErr w:type="gramStart"/>
      <w:r w:rsidR="00271FC5" w:rsidRPr="0098053C">
        <w:rPr>
          <w:rFonts w:ascii="Open Sans" w:hAnsi="Open Sans" w:cs="Open Sans"/>
          <w:i/>
          <w:iCs/>
        </w:rPr>
        <w:t xml:space="preserve">anche </w:t>
      </w:r>
      <w:r>
        <w:rPr>
          <w:rFonts w:ascii="Open Sans" w:hAnsi="Open Sans" w:cs="Open Sans"/>
          <w:i/>
          <w:iCs/>
        </w:rPr>
        <w:t xml:space="preserve"> punto</w:t>
      </w:r>
      <w:proofErr w:type="gramEnd"/>
      <w:r>
        <w:rPr>
          <w:rFonts w:ascii="Open Sans" w:hAnsi="Open Sans" w:cs="Open Sans"/>
          <w:i/>
          <w:iCs/>
        </w:rPr>
        <w:t xml:space="preserve"> </w:t>
      </w:r>
      <w:r w:rsidR="00271FC5" w:rsidRPr="0098053C">
        <w:rPr>
          <w:rFonts w:ascii="Open Sans" w:hAnsi="Open Sans" w:cs="Open Sans"/>
          <w:i/>
          <w:iCs/>
        </w:rPr>
        <w:t xml:space="preserve"> </w:t>
      </w:r>
      <w:r w:rsidRPr="0098053C">
        <w:rPr>
          <w:rFonts w:ascii="Open Sans" w:hAnsi="Open Sans" w:cs="Open Sans"/>
          <w:i/>
          <w:iCs/>
        </w:rPr>
        <w:t>8</w:t>
      </w:r>
      <w:r w:rsidR="00271FC5" w:rsidRPr="0098053C">
        <w:rPr>
          <w:rFonts w:ascii="Open Sans" w:hAnsi="Open Sans" w:cs="Open Sans"/>
          <w:i/>
          <w:iCs/>
        </w:rPr>
        <w:t>).</w:t>
      </w:r>
    </w:p>
    <w:p w14:paraId="585F3735" w14:textId="77777777" w:rsidR="00271FC5" w:rsidRPr="003D0822" w:rsidRDefault="00271FC5" w:rsidP="003D0822">
      <w:pPr>
        <w:shd w:val="clear" w:color="auto" w:fill="FFFFFF"/>
        <w:spacing w:after="0" w:line="240" w:lineRule="auto"/>
        <w:jc w:val="both"/>
        <w:rPr>
          <w:rFonts w:ascii="Open Sans" w:eastAsia="Times New Roman" w:hAnsi="Open Sans" w:cs="Open Sans"/>
          <w:b/>
          <w:bCs/>
          <w:color w:val="000000"/>
          <w:sz w:val="24"/>
          <w:szCs w:val="24"/>
          <w:bdr w:val="none" w:sz="0" w:space="0" w:color="auto" w:frame="1"/>
          <w:shd w:val="clear" w:color="auto" w:fill="FFFFFF"/>
          <w:lang w:eastAsia="it-IT"/>
        </w:rPr>
      </w:pPr>
    </w:p>
    <w:p w14:paraId="57D5D30E" w14:textId="2284F041" w:rsidR="00271FC5" w:rsidRPr="003D0822" w:rsidRDefault="00271FC5" w:rsidP="0098053C">
      <w:pPr>
        <w:pStyle w:val="NormaleWeb"/>
        <w:numPr>
          <w:ilvl w:val="0"/>
          <w:numId w:val="1"/>
        </w:numPr>
        <w:jc w:val="both"/>
        <w:rPr>
          <w:rFonts w:ascii="Open Sans" w:hAnsi="Open Sans" w:cs="Open Sans"/>
          <w:b/>
          <w:bCs/>
        </w:rPr>
      </w:pPr>
      <w:r w:rsidRPr="003D0822">
        <w:rPr>
          <w:rFonts w:ascii="Open Sans" w:hAnsi="Open Sans" w:cs="Open Sans"/>
          <w:b/>
          <w:bCs/>
        </w:rPr>
        <w:t xml:space="preserve">Prestazioni in psicologia rese dal professionista esclusivamente in modalità online e da remoto </w:t>
      </w:r>
      <w:r w:rsidR="0098053C">
        <w:rPr>
          <w:rFonts w:ascii="Open Sans" w:hAnsi="Open Sans" w:cs="Open Sans"/>
          <w:b/>
          <w:bCs/>
        </w:rPr>
        <w:t xml:space="preserve"> </w:t>
      </w:r>
    </w:p>
    <w:p w14:paraId="62403B20" w14:textId="77777777" w:rsidR="00271FC5" w:rsidRPr="003D0822" w:rsidRDefault="00271FC5" w:rsidP="003D0822">
      <w:pPr>
        <w:shd w:val="clear" w:color="auto" w:fill="FFFFFF"/>
        <w:spacing w:after="0" w:line="240" w:lineRule="auto"/>
        <w:jc w:val="both"/>
        <w:rPr>
          <w:rFonts w:ascii="Open Sans" w:eastAsia="Times New Roman" w:hAnsi="Open Sans" w:cs="Open Sans"/>
          <w:b/>
          <w:bCs/>
          <w:color w:val="000000"/>
          <w:sz w:val="24"/>
          <w:szCs w:val="24"/>
          <w:bdr w:val="none" w:sz="0" w:space="0" w:color="auto" w:frame="1"/>
          <w:lang w:eastAsia="it-IT"/>
        </w:rPr>
      </w:pPr>
    </w:p>
    <w:p w14:paraId="47BFE48B" w14:textId="7AAA3E12"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r w:rsidRPr="003D0822">
        <w:rPr>
          <w:rFonts w:ascii="Open Sans" w:eastAsia="Times New Roman" w:hAnsi="Open Sans" w:cs="Open Sans"/>
          <w:color w:val="000000"/>
          <w:sz w:val="24"/>
          <w:szCs w:val="24"/>
          <w:bdr w:val="none" w:sz="0" w:space="0" w:color="auto" w:frame="1"/>
          <w:lang w:eastAsia="it-IT"/>
        </w:rPr>
        <w:t xml:space="preserve">Nelle more di altre indicazioni si segnala che la comunicazione va comunque inviata. Potrebbe bastare la comunicazione di inizio attività con la specifica che la stessa è esercitata solamente da remoto. Va comunque indicata la </w:t>
      </w:r>
      <w:r w:rsidR="00920691" w:rsidRPr="003D0822">
        <w:rPr>
          <w:rFonts w:ascii="Open Sans" w:eastAsia="Times New Roman" w:hAnsi="Open Sans" w:cs="Open Sans"/>
          <w:color w:val="000000"/>
          <w:sz w:val="24"/>
          <w:szCs w:val="24"/>
          <w:bdr w:val="none" w:sz="0" w:space="0" w:color="auto" w:frame="1"/>
          <w:lang w:eastAsia="it-IT"/>
        </w:rPr>
        <w:t>“</w:t>
      </w:r>
      <w:r w:rsidRPr="003D0822">
        <w:rPr>
          <w:rFonts w:ascii="Open Sans" w:eastAsia="Times New Roman" w:hAnsi="Open Sans" w:cs="Open Sans"/>
          <w:color w:val="000000"/>
          <w:sz w:val="24"/>
          <w:szCs w:val="24"/>
          <w:bdr w:val="none" w:sz="0" w:space="0" w:color="auto" w:frame="1"/>
          <w:lang w:eastAsia="it-IT"/>
        </w:rPr>
        <w:t xml:space="preserve">sede </w:t>
      </w:r>
      <w:proofErr w:type="gramStart"/>
      <w:r w:rsidRPr="003D0822">
        <w:rPr>
          <w:rFonts w:ascii="Open Sans" w:eastAsia="Times New Roman" w:hAnsi="Open Sans" w:cs="Open Sans"/>
          <w:color w:val="000000"/>
          <w:sz w:val="24"/>
          <w:szCs w:val="24"/>
          <w:bdr w:val="none" w:sz="0" w:space="0" w:color="auto" w:frame="1"/>
          <w:lang w:eastAsia="it-IT"/>
        </w:rPr>
        <w:t>legale”</w:t>
      </w:r>
      <w:r w:rsidR="00920691">
        <w:rPr>
          <w:rFonts w:ascii="Open Sans" w:eastAsia="Times New Roman" w:hAnsi="Open Sans" w:cs="Open Sans"/>
          <w:color w:val="000000"/>
          <w:sz w:val="24"/>
          <w:szCs w:val="24"/>
          <w:bdr w:val="none" w:sz="0" w:space="0" w:color="auto" w:frame="1"/>
          <w:lang w:eastAsia="it-IT"/>
        </w:rPr>
        <w:t>/</w:t>
      </w:r>
      <w:proofErr w:type="gramEnd"/>
      <w:r w:rsidR="00920691">
        <w:rPr>
          <w:rFonts w:ascii="Open Sans" w:eastAsia="Times New Roman" w:hAnsi="Open Sans" w:cs="Open Sans"/>
          <w:color w:val="000000"/>
          <w:sz w:val="24"/>
          <w:szCs w:val="24"/>
          <w:bdr w:val="none" w:sz="0" w:space="0" w:color="auto" w:frame="1"/>
          <w:lang w:eastAsia="it-IT"/>
        </w:rPr>
        <w:t xml:space="preserve">”domicilio fiscale” </w:t>
      </w:r>
      <w:r w:rsidRPr="003D0822">
        <w:rPr>
          <w:rFonts w:ascii="Open Sans" w:eastAsia="Times New Roman" w:hAnsi="Open Sans" w:cs="Open Sans"/>
          <w:color w:val="000000"/>
          <w:sz w:val="24"/>
          <w:szCs w:val="24"/>
          <w:bdr w:val="none" w:sz="0" w:space="0" w:color="auto" w:frame="1"/>
          <w:lang w:eastAsia="it-IT"/>
        </w:rPr>
        <w:t xml:space="preserve">che è già prevista per gli aspetti fiscali.    </w:t>
      </w:r>
    </w:p>
    <w:p w14:paraId="27AF7CA4"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r w:rsidRPr="003D0822">
        <w:rPr>
          <w:rFonts w:ascii="Open Sans" w:eastAsia="Times New Roman" w:hAnsi="Open Sans" w:cs="Open Sans"/>
          <w:color w:val="000000"/>
          <w:sz w:val="24"/>
          <w:szCs w:val="24"/>
          <w:bdr w:val="none" w:sz="0" w:space="0" w:color="auto" w:frame="1"/>
          <w:lang w:eastAsia="it-IT"/>
        </w:rPr>
        <w:br/>
      </w:r>
    </w:p>
    <w:p w14:paraId="60E725BA" w14:textId="6AE8A38E" w:rsidR="00271FC5" w:rsidRPr="003D0822" w:rsidRDefault="00271FC5" w:rsidP="0098053C">
      <w:pPr>
        <w:pStyle w:val="NormaleWeb"/>
        <w:numPr>
          <w:ilvl w:val="0"/>
          <w:numId w:val="1"/>
        </w:numPr>
        <w:jc w:val="both"/>
        <w:rPr>
          <w:rFonts w:ascii="Open Sans" w:hAnsi="Open Sans" w:cs="Open Sans"/>
          <w:b/>
          <w:bCs/>
          <w:color w:val="000000"/>
          <w:shd w:val="clear" w:color="auto" w:fill="FFFFFF"/>
        </w:rPr>
      </w:pPr>
      <w:r w:rsidRPr="003D0822">
        <w:rPr>
          <w:rFonts w:ascii="Open Sans" w:hAnsi="Open Sans" w:cs="Open Sans"/>
          <w:b/>
          <w:bCs/>
        </w:rPr>
        <w:t>Esercizio dell’attività presso l’abitazione, ossia uso promiscuo dell’immobile</w:t>
      </w:r>
      <w:r w:rsidRPr="003D0822">
        <w:rPr>
          <w:rFonts w:ascii="Open Sans" w:hAnsi="Open Sans" w:cs="Open Sans"/>
          <w:b/>
          <w:bCs/>
          <w:color w:val="000000"/>
          <w:bdr w:val="none" w:sz="0" w:space="0" w:color="auto" w:frame="1"/>
          <w:shd w:val="clear" w:color="auto" w:fill="FFFFFF"/>
        </w:rPr>
        <w:t xml:space="preserve"> </w:t>
      </w:r>
    </w:p>
    <w:p w14:paraId="320E60DE" w14:textId="7004E960" w:rsidR="00271FC5" w:rsidRPr="003D0822" w:rsidRDefault="00271FC5" w:rsidP="003D0822">
      <w:pPr>
        <w:pStyle w:val="NormaleWeb"/>
        <w:jc w:val="both"/>
        <w:rPr>
          <w:rFonts w:ascii="Open Sans" w:hAnsi="Open Sans" w:cs="Open Sans"/>
          <w:b/>
          <w:bCs/>
        </w:rPr>
      </w:pPr>
      <w:r w:rsidRPr="003D0822">
        <w:rPr>
          <w:rFonts w:ascii="Open Sans" w:hAnsi="Open Sans" w:cs="Open Sans"/>
          <w:color w:val="000000"/>
          <w:shd w:val="clear" w:color="auto" w:fill="FFFFFF"/>
        </w:rPr>
        <w:t>Uso promiscuo abitazione/studio solo se i locali dedicati all'attività sono esclusivi (cioè posso anche entrare dalla porta principale dell'abitazione, ma poi dentro devo garantire locali separati)</w:t>
      </w:r>
      <w:r w:rsidR="00844BEE">
        <w:rPr>
          <w:rFonts w:ascii="Open Sans" w:hAnsi="Open Sans" w:cs="Open Sans"/>
          <w:color w:val="000000"/>
          <w:shd w:val="clear" w:color="auto" w:fill="FFFFFF"/>
        </w:rPr>
        <w:t>: l</w:t>
      </w:r>
      <w:r w:rsidRPr="003D0822">
        <w:rPr>
          <w:rFonts w:ascii="Open Sans" w:hAnsi="Open Sans" w:cs="Open Sans"/>
          <w:color w:val="000000"/>
          <w:shd w:val="clear" w:color="auto" w:fill="FFFFFF"/>
        </w:rPr>
        <w:t xml:space="preserve">a norma prevede </w:t>
      </w:r>
      <w:r w:rsidR="00844BEE">
        <w:rPr>
          <w:rFonts w:ascii="Open Sans" w:hAnsi="Open Sans" w:cs="Open Sans"/>
          <w:color w:val="000000"/>
          <w:shd w:val="clear" w:color="auto" w:fill="FFFFFF"/>
        </w:rPr>
        <w:t xml:space="preserve">infatti </w:t>
      </w:r>
      <w:r w:rsidRPr="003D0822">
        <w:rPr>
          <w:rFonts w:ascii="Open Sans" w:hAnsi="Open Sans" w:cs="Open Sans"/>
          <w:color w:val="000000"/>
          <w:shd w:val="clear" w:color="auto" w:fill="FFFFFF"/>
        </w:rPr>
        <w:t>"presso l'abitazione" </w:t>
      </w:r>
    </w:p>
    <w:p w14:paraId="6CE71261"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p>
    <w:p w14:paraId="77B8F3BE"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p>
    <w:p w14:paraId="0D6BBE6E" w14:textId="1CD7A29E" w:rsidR="00271FC5" w:rsidRPr="0098053C" w:rsidRDefault="00271FC5" w:rsidP="0098053C">
      <w:pPr>
        <w:pStyle w:val="Paragrafoelenco"/>
        <w:numPr>
          <w:ilvl w:val="0"/>
          <w:numId w:val="1"/>
        </w:numPr>
        <w:shd w:val="clear" w:color="auto" w:fill="FFFFFF"/>
        <w:spacing w:after="0" w:line="240" w:lineRule="auto"/>
        <w:rPr>
          <w:rFonts w:ascii="Open Sans" w:eastAsia="Times New Roman" w:hAnsi="Open Sans" w:cs="Open Sans"/>
          <w:b/>
          <w:bCs/>
          <w:color w:val="000000"/>
          <w:sz w:val="24"/>
          <w:szCs w:val="24"/>
          <w:lang w:eastAsia="it-IT"/>
        </w:rPr>
      </w:pP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Regolamento Locale di Igiene Tipo punto 3.14.1 e </w:t>
      </w:r>
      <w:r w:rsidR="003D0822" w:rsidRPr="0098053C">
        <w:rPr>
          <w:rFonts w:ascii="Open Sans" w:eastAsia="Times New Roman" w:hAnsi="Open Sans" w:cs="Open Sans"/>
          <w:b/>
          <w:bCs/>
          <w:color w:val="000000"/>
          <w:sz w:val="24"/>
          <w:szCs w:val="24"/>
          <w:bdr w:val="none" w:sz="0" w:space="0" w:color="auto" w:frame="1"/>
          <w:shd w:val="clear" w:color="auto" w:fill="FFFFFF"/>
          <w:lang w:eastAsia="it-IT"/>
        </w:rPr>
        <w:t xml:space="preserve"> </w:t>
      </w: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 normativa sulla rimozione delle barriere architettoniche </w:t>
      </w:r>
      <w:r w:rsidRPr="0098053C">
        <w:rPr>
          <w:rFonts w:ascii="Open Sans" w:eastAsia="Times New Roman" w:hAnsi="Open Sans" w:cs="Open Sans"/>
          <w:b/>
          <w:bCs/>
          <w:color w:val="000000"/>
          <w:sz w:val="24"/>
          <w:szCs w:val="24"/>
          <w:bdr w:val="none" w:sz="0" w:space="0" w:color="auto" w:frame="1"/>
          <w:lang w:eastAsia="it-IT"/>
        </w:rPr>
        <w:br/>
      </w:r>
    </w:p>
    <w:p w14:paraId="68217323"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r w:rsidRPr="003D0822">
        <w:rPr>
          <w:rFonts w:ascii="Open Sans" w:eastAsia="Times New Roman" w:hAnsi="Open Sans" w:cs="Open Sans"/>
          <w:color w:val="000000"/>
          <w:sz w:val="24"/>
          <w:szCs w:val="24"/>
          <w:bdr w:val="none" w:sz="0" w:space="0" w:color="auto" w:frame="1"/>
          <w:lang w:eastAsia="it-IT"/>
        </w:rPr>
        <w:t xml:space="preserve">I requisiti di cui al regolamento Locale d’Igiene Tipo sono ricompresi nell’attestazione di agibilità, così come il rispetto delle norme in materia di barriere architettoniche. </w:t>
      </w:r>
    </w:p>
    <w:p w14:paraId="664AE818" w14:textId="77777777" w:rsidR="00271FC5" w:rsidRPr="0098053C" w:rsidRDefault="00271FC5" w:rsidP="003D0822">
      <w:pPr>
        <w:shd w:val="clear" w:color="auto" w:fill="FFFFFF"/>
        <w:spacing w:after="0" w:line="240" w:lineRule="auto"/>
        <w:jc w:val="both"/>
        <w:rPr>
          <w:rFonts w:ascii="Open Sans" w:eastAsia="Times New Roman" w:hAnsi="Open Sans" w:cs="Open Sans"/>
          <w:b/>
          <w:bCs/>
          <w:color w:val="000000"/>
          <w:sz w:val="24"/>
          <w:szCs w:val="24"/>
          <w:lang w:eastAsia="it-IT"/>
        </w:rPr>
      </w:pPr>
      <w:r w:rsidRPr="003D0822">
        <w:rPr>
          <w:rFonts w:ascii="Open Sans" w:eastAsia="Times New Roman" w:hAnsi="Open Sans" w:cs="Open Sans"/>
          <w:color w:val="000000"/>
          <w:sz w:val="24"/>
          <w:szCs w:val="24"/>
          <w:bdr w:val="none" w:sz="0" w:space="0" w:color="auto" w:frame="1"/>
          <w:lang w:eastAsia="it-IT"/>
        </w:rPr>
        <w:lastRenderedPageBreak/>
        <w:br/>
      </w:r>
    </w:p>
    <w:p w14:paraId="62B6CD83" w14:textId="46D9157E" w:rsidR="00271FC5" w:rsidRPr="0098053C" w:rsidRDefault="00271FC5" w:rsidP="0098053C">
      <w:pPr>
        <w:pStyle w:val="Paragrafoelenco"/>
        <w:numPr>
          <w:ilvl w:val="0"/>
          <w:numId w:val="1"/>
        </w:numPr>
        <w:shd w:val="clear" w:color="auto" w:fill="FFFFFF"/>
        <w:spacing w:after="0" w:line="240" w:lineRule="auto"/>
        <w:rPr>
          <w:rFonts w:ascii="Open Sans" w:eastAsia="Times New Roman" w:hAnsi="Open Sans" w:cs="Open Sans"/>
          <w:color w:val="000000"/>
          <w:sz w:val="24"/>
          <w:szCs w:val="24"/>
          <w:lang w:eastAsia="it-IT"/>
        </w:rPr>
      </w:pP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Soggetto obbligato alla presentazione della Comunicazione di Inizio Attività ex art. 2 DGR VII 5724/2001 </w:t>
      </w:r>
      <w:r w:rsidRPr="0098053C">
        <w:rPr>
          <w:rFonts w:ascii="Open Sans" w:eastAsia="Times New Roman" w:hAnsi="Open Sans" w:cs="Open Sans"/>
          <w:color w:val="000000"/>
          <w:sz w:val="24"/>
          <w:szCs w:val="24"/>
          <w:bdr w:val="none" w:sz="0" w:space="0" w:color="auto" w:frame="1"/>
          <w:lang w:eastAsia="it-IT"/>
        </w:rPr>
        <w:br/>
      </w:r>
    </w:p>
    <w:p w14:paraId="4AE6FECD" w14:textId="3B5FC4B5"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bookmarkStart w:id="1" w:name="_Hlk138077076"/>
      <w:r w:rsidRPr="003D0822">
        <w:rPr>
          <w:rFonts w:ascii="Open Sans" w:eastAsia="Times New Roman" w:hAnsi="Open Sans" w:cs="Open Sans"/>
          <w:color w:val="000000"/>
          <w:sz w:val="24"/>
          <w:szCs w:val="24"/>
          <w:bdr w:val="none" w:sz="0" w:space="0" w:color="auto" w:frame="1"/>
          <w:lang w:eastAsia="it-IT"/>
        </w:rPr>
        <w:t>Premesso che i requisiti sono gli stessi per tutte le professioni sanitarie, rimando a quanto precisato sopra alla voce “comunicazione inizio attività”.</w:t>
      </w:r>
    </w:p>
    <w:p w14:paraId="1AC9CEB9"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r w:rsidRPr="003D0822">
        <w:rPr>
          <w:rFonts w:ascii="Open Sans" w:eastAsia="Times New Roman" w:hAnsi="Open Sans" w:cs="Open Sans"/>
          <w:color w:val="000000"/>
          <w:sz w:val="24"/>
          <w:szCs w:val="24"/>
          <w:bdr w:val="none" w:sz="0" w:space="0" w:color="auto" w:frame="1"/>
          <w:lang w:eastAsia="it-IT"/>
        </w:rPr>
        <w:t xml:space="preserve">Si precisa anche che la vigilanza sulle professioni sanitarie non è solo sui locali (ART 99 del TULLSS).  </w:t>
      </w:r>
    </w:p>
    <w:p w14:paraId="4B0C574A" w14:textId="77777777" w:rsidR="00271FC5" w:rsidRPr="003D0822" w:rsidRDefault="00271FC5" w:rsidP="003D0822">
      <w:pPr>
        <w:pStyle w:val="Contenutotabella"/>
        <w:spacing w:after="283"/>
        <w:jc w:val="both"/>
        <w:rPr>
          <w:rFonts w:ascii="Open Sans" w:hAnsi="Open Sans" w:cs="Open Sans"/>
        </w:rPr>
      </w:pPr>
      <w:r w:rsidRPr="003D0822">
        <w:rPr>
          <w:rFonts w:ascii="Open Sans" w:eastAsia="Times New Roman" w:hAnsi="Open Sans" w:cs="Open Sans"/>
          <w:color w:val="000000"/>
          <w:bdr w:val="none" w:sz="0" w:space="0" w:color="auto" w:frame="1"/>
          <w:lang w:eastAsia="it-IT"/>
        </w:rPr>
        <w:t xml:space="preserve">Si rimanda inoltre alla sentenza del Consiglio di Stato n. 23/2017 circa la complessità organizzativa:  </w:t>
      </w:r>
      <w:r w:rsidRPr="003D0822">
        <w:rPr>
          <w:rFonts w:ascii="Open Sans" w:hAnsi="Open Sans" w:cs="Open Sans"/>
          <w:i/>
          <w:iCs/>
        </w:rPr>
        <w:t xml:space="preserve">11.3. Anche ai fini del riscontro dell’esistenza del reato previsto (per la mancanza dell’autorizzazione) dal terzo comma dell’art. 193, cit., la giurisprudenza ha fatto riferimento all’elemento organizzativo-strutturale, quale elemento distintivo degli “ambulatori", affermando che gli istituti sanitari disciplinati dall'art. 193 sono quelli caratterizzati da una minima organizzazione di mezzi e persone diretta al fine di gestire l’attività sanitaria (cfr. Cass. </w:t>
      </w:r>
      <w:proofErr w:type="spellStart"/>
      <w:r w:rsidRPr="003D0822">
        <w:rPr>
          <w:rFonts w:ascii="Open Sans" w:hAnsi="Open Sans" w:cs="Open Sans"/>
          <w:i/>
          <w:iCs/>
        </w:rPr>
        <w:t>pen</w:t>
      </w:r>
      <w:proofErr w:type="spellEnd"/>
      <w:r w:rsidRPr="003D0822">
        <w:rPr>
          <w:rFonts w:ascii="Open Sans" w:hAnsi="Open Sans" w:cs="Open Sans"/>
          <w:i/>
          <w:iCs/>
        </w:rPr>
        <w:t xml:space="preserve">., II, n. 17923/2014); che, in base all’art. 193, le istituzioni sanitarie private che devono essere autorizzate (ambulatori, case o istituti di cura medico-chirurgica o di assistenza ostetrica, gabinetti di analisi, ecc.) sono quelle che abbiano </w:t>
      </w:r>
      <w:r w:rsidRPr="003D0822">
        <w:rPr>
          <w:rFonts w:ascii="Open Sans" w:hAnsi="Open Sans" w:cs="Open Sans"/>
          <w:i/>
          <w:iCs/>
          <w:u w:val="single"/>
        </w:rPr>
        <w:t>un’interna organizzazione di mezzi e di personale, ancorché minima, che però assuma un’individualità propria distinta da quella dei sanitari che ivi prestano la propria opera; mentre sono esclusi dall’autorizzazione sanitaria gli studi dei liberi professionisti dove il singolo sanitario esercita la propria professione e dove si accede normalmente per appuntamento</w:t>
      </w:r>
      <w:r w:rsidRPr="003D0822">
        <w:rPr>
          <w:rFonts w:ascii="Open Sans" w:hAnsi="Open Sans" w:cs="Open Sans"/>
          <w:i/>
          <w:iCs/>
        </w:rPr>
        <w:t xml:space="preserve"> (cfr. Cass. </w:t>
      </w:r>
      <w:proofErr w:type="spellStart"/>
      <w:r w:rsidRPr="003D0822">
        <w:rPr>
          <w:rFonts w:ascii="Open Sans" w:hAnsi="Open Sans" w:cs="Open Sans"/>
          <w:i/>
          <w:iCs/>
        </w:rPr>
        <w:t>pen</w:t>
      </w:r>
      <w:proofErr w:type="spellEnd"/>
      <w:r w:rsidRPr="003D0822">
        <w:rPr>
          <w:rFonts w:ascii="Open Sans" w:hAnsi="Open Sans" w:cs="Open Sans"/>
          <w:i/>
          <w:iCs/>
        </w:rPr>
        <w:t>., III, n. 21806/2007; n. 17434/2005).</w:t>
      </w:r>
    </w:p>
    <w:p w14:paraId="337D81AF"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p>
    <w:bookmarkEnd w:id="1"/>
    <w:p w14:paraId="0852831F" w14:textId="600CAFB8" w:rsidR="00271FC5" w:rsidRPr="0098053C" w:rsidRDefault="00271FC5" w:rsidP="0098053C">
      <w:pPr>
        <w:pStyle w:val="Paragrafoelenco"/>
        <w:numPr>
          <w:ilvl w:val="0"/>
          <w:numId w:val="1"/>
        </w:numPr>
        <w:shd w:val="clear" w:color="auto" w:fill="FFFFFF"/>
        <w:spacing w:after="0" w:line="240" w:lineRule="auto"/>
        <w:rPr>
          <w:rFonts w:ascii="Open Sans" w:eastAsia="Times New Roman" w:hAnsi="Open Sans" w:cs="Open Sans"/>
          <w:b/>
          <w:bCs/>
          <w:color w:val="000000"/>
          <w:sz w:val="24"/>
          <w:szCs w:val="24"/>
          <w:lang w:eastAsia="it-IT"/>
        </w:rPr>
      </w:pPr>
      <w:r w:rsidRPr="0098053C">
        <w:rPr>
          <w:rFonts w:ascii="Open Sans" w:eastAsia="Times New Roman" w:hAnsi="Open Sans" w:cs="Open Sans"/>
          <w:b/>
          <w:bCs/>
          <w:color w:val="000000"/>
          <w:sz w:val="24"/>
          <w:szCs w:val="24"/>
          <w:bdr w:val="none" w:sz="0" w:space="0" w:color="auto" w:frame="1"/>
          <w:shd w:val="clear" w:color="auto" w:fill="FFFFFF"/>
          <w:lang w:eastAsia="it-IT"/>
        </w:rPr>
        <w:t xml:space="preserve">Documentazione da allegare alla CIA </w:t>
      </w:r>
      <w:r w:rsidRPr="0098053C">
        <w:rPr>
          <w:rFonts w:ascii="Open Sans" w:eastAsia="Times New Roman" w:hAnsi="Open Sans" w:cs="Open Sans"/>
          <w:b/>
          <w:bCs/>
          <w:color w:val="000000"/>
          <w:sz w:val="24"/>
          <w:szCs w:val="24"/>
          <w:bdr w:val="none" w:sz="0" w:space="0" w:color="auto" w:frame="1"/>
          <w:lang w:eastAsia="it-IT"/>
        </w:rPr>
        <w:br/>
      </w:r>
    </w:p>
    <w:p w14:paraId="0B470E42" w14:textId="640A2D24"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bdr w:val="none" w:sz="0" w:space="0" w:color="auto" w:frame="1"/>
          <w:lang w:eastAsia="it-IT"/>
        </w:rPr>
      </w:pPr>
      <w:r w:rsidRPr="003D0822">
        <w:rPr>
          <w:rFonts w:ascii="Open Sans" w:eastAsia="Times New Roman" w:hAnsi="Open Sans" w:cs="Open Sans"/>
          <w:color w:val="000000"/>
          <w:sz w:val="24"/>
          <w:szCs w:val="24"/>
          <w:bdr w:val="none" w:sz="0" w:space="0" w:color="auto" w:frame="1"/>
          <w:lang w:eastAsia="it-IT"/>
        </w:rPr>
        <w:t xml:space="preserve">La presentazione di una planimetria, </w:t>
      </w:r>
      <w:r w:rsidRPr="0098053C">
        <w:rPr>
          <w:rFonts w:ascii="Open Sans" w:eastAsia="Times New Roman" w:hAnsi="Open Sans" w:cs="Open Sans"/>
          <w:sz w:val="24"/>
          <w:szCs w:val="24"/>
          <w:bdr w:val="none" w:sz="0" w:space="0" w:color="auto" w:frame="1"/>
          <w:lang w:eastAsia="it-IT"/>
        </w:rPr>
        <w:t>anche in fotocopia o in copia non asseverata, permette di avere l’esatta tipologia dei locali</w:t>
      </w:r>
      <w:r w:rsidR="00CE68CC" w:rsidRPr="0098053C">
        <w:rPr>
          <w:rFonts w:ascii="Open Sans" w:eastAsia="Times New Roman" w:hAnsi="Open Sans" w:cs="Open Sans"/>
          <w:sz w:val="24"/>
          <w:szCs w:val="24"/>
          <w:bdr w:val="none" w:sz="0" w:space="0" w:color="auto" w:frame="1"/>
          <w:lang w:eastAsia="it-IT"/>
        </w:rPr>
        <w:t>, anche ai fini dell’obbligo di vigilanza in capo ad ATS</w:t>
      </w:r>
      <w:r w:rsidRPr="0098053C">
        <w:rPr>
          <w:rFonts w:ascii="Open Sans" w:eastAsia="Times New Roman" w:hAnsi="Open Sans" w:cs="Open Sans"/>
          <w:sz w:val="24"/>
          <w:szCs w:val="24"/>
          <w:bdr w:val="none" w:sz="0" w:space="0" w:color="auto" w:frame="1"/>
          <w:lang w:eastAsia="it-IT"/>
        </w:rPr>
        <w:t xml:space="preserve">. In alternativa deve essere allegata una descrizione dei locali stessi o una dichiarazione del possesso dei requisiti minimi </w:t>
      </w:r>
      <w:r w:rsidR="003D0822" w:rsidRPr="0098053C">
        <w:rPr>
          <w:rFonts w:ascii="Open Sans" w:eastAsia="Times New Roman" w:hAnsi="Open Sans" w:cs="Open Sans"/>
          <w:sz w:val="24"/>
          <w:szCs w:val="24"/>
          <w:bdr w:val="none" w:sz="0" w:space="0" w:color="auto" w:frame="1"/>
          <w:lang w:eastAsia="it-IT"/>
        </w:rPr>
        <w:t>(</w:t>
      </w:r>
      <w:r w:rsidR="00844BEE" w:rsidRPr="0098053C">
        <w:rPr>
          <w:rFonts w:ascii="Open Sans" w:eastAsia="Times New Roman" w:hAnsi="Open Sans" w:cs="Open Sans"/>
          <w:sz w:val="24"/>
          <w:szCs w:val="24"/>
          <w:bdr w:val="none" w:sz="0" w:space="0" w:color="auto" w:frame="1"/>
          <w:lang w:eastAsia="it-IT"/>
        </w:rPr>
        <w:t xml:space="preserve">dichiarazione </w:t>
      </w:r>
      <w:r w:rsidR="003D0822" w:rsidRPr="0098053C">
        <w:rPr>
          <w:rFonts w:ascii="Open Sans" w:eastAsia="Times New Roman" w:hAnsi="Open Sans" w:cs="Open Sans"/>
          <w:sz w:val="24"/>
          <w:szCs w:val="24"/>
          <w:bdr w:val="none" w:sz="0" w:space="0" w:color="auto" w:frame="1"/>
          <w:lang w:eastAsia="it-IT"/>
        </w:rPr>
        <w:t>del possesso dei requisiti strutturali generali di cui al DPR 14.1.1997</w:t>
      </w:r>
      <w:r w:rsidR="00844BEE" w:rsidRPr="0098053C">
        <w:rPr>
          <w:rFonts w:ascii="Open Sans" w:eastAsia="Times New Roman" w:hAnsi="Open Sans" w:cs="Open Sans"/>
          <w:sz w:val="24"/>
          <w:szCs w:val="24"/>
          <w:bdr w:val="none" w:sz="0" w:space="0" w:color="auto" w:frame="1"/>
          <w:lang w:eastAsia="it-IT"/>
        </w:rPr>
        <w:t xml:space="preserve"> e specifici</w:t>
      </w:r>
      <w:r w:rsidR="00CE68CC" w:rsidRPr="0098053C">
        <w:rPr>
          <w:rFonts w:ascii="Open Sans" w:eastAsia="Times New Roman" w:hAnsi="Open Sans" w:cs="Open Sans"/>
          <w:sz w:val="24"/>
          <w:szCs w:val="24"/>
          <w:bdr w:val="none" w:sz="0" w:space="0" w:color="auto" w:frame="1"/>
          <w:lang w:eastAsia="it-IT"/>
        </w:rPr>
        <w:t xml:space="preserve"> come sopra indicati</w:t>
      </w:r>
      <w:r w:rsidR="003D0822" w:rsidRPr="0098053C">
        <w:rPr>
          <w:rFonts w:ascii="Open Sans" w:eastAsia="Times New Roman" w:hAnsi="Open Sans" w:cs="Open Sans"/>
          <w:sz w:val="24"/>
          <w:szCs w:val="24"/>
          <w:bdr w:val="none" w:sz="0" w:space="0" w:color="auto" w:frame="1"/>
          <w:lang w:eastAsia="it-IT"/>
        </w:rPr>
        <w:t>)</w:t>
      </w:r>
      <w:r w:rsidRPr="0098053C">
        <w:rPr>
          <w:rFonts w:ascii="Open Sans" w:eastAsia="Times New Roman" w:hAnsi="Open Sans" w:cs="Open Sans"/>
          <w:sz w:val="24"/>
          <w:szCs w:val="24"/>
          <w:bdr w:val="none" w:sz="0" w:space="0" w:color="auto" w:frame="1"/>
          <w:lang w:eastAsia="it-IT"/>
        </w:rPr>
        <w:t xml:space="preserve">.  </w:t>
      </w:r>
    </w:p>
    <w:p w14:paraId="3FFAB5C5" w14:textId="77777777" w:rsidR="00271FC5" w:rsidRPr="003D0822" w:rsidRDefault="00271FC5" w:rsidP="003D0822">
      <w:pPr>
        <w:shd w:val="clear" w:color="auto" w:fill="FFFFFF"/>
        <w:spacing w:after="0" w:line="240" w:lineRule="auto"/>
        <w:jc w:val="both"/>
        <w:rPr>
          <w:rFonts w:ascii="Open Sans" w:eastAsia="Times New Roman" w:hAnsi="Open Sans" w:cs="Open Sans"/>
          <w:color w:val="000000"/>
          <w:sz w:val="24"/>
          <w:szCs w:val="24"/>
          <w:lang w:eastAsia="it-IT"/>
        </w:rPr>
      </w:pPr>
    </w:p>
    <w:p w14:paraId="6CFEBC02" w14:textId="77777777" w:rsidR="00271FC5" w:rsidRPr="003D0822" w:rsidRDefault="00271FC5" w:rsidP="003D0822">
      <w:pPr>
        <w:pStyle w:val="NormaleWeb"/>
        <w:jc w:val="both"/>
        <w:rPr>
          <w:rFonts w:ascii="Open Sans" w:hAnsi="Open Sans" w:cs="Open Sans"/>
        </w:rPr>
      </w:pPr>
    </w:p>
    <w:sectPr w:rsidR="00271FC5" w:rsidRPr="003D08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414A5"/>
    <w:multiLevelType w:val="hybridMultilevel"/>
    <w:tmpl w:val="3D62562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C5"/>
    <w:rsid w:val="00271FC5"/>
    <w:rsid w:val="002A7A7E"/>
    <w:rsid w:val="002E50C8"/>
    <w:rsid w:val="003D0822"/>
    <w:rsid w:val="00420246"/>
    <w:rsid w:val="00547254"/>
    <w:rsid w:val="00630EDB"/>
    <w:rsid w:val="00664E24"/>
    <w:rsid w:val="0068732A"/>
    <w:rsid w:val="007125AA"/>
    <w:rsid w:val="0073455D"/>
    <w:rsid w:val="00752067"/>
    <w:rsid w:val="007A1366"/>
    <w:rsid w:val="00844BEE"/>
    <w:rsid w:val="00887677"/>
    <w:rsid w:val="008A6B7A"/>
    <w:rsid w:val="00914638"/>
    <w:rsid w:val="0091672D"/>
    <w:rsid w:val="00917B74"/>
    <w:rsid w:val="00920691"/>
    <w:rsid w:val="0098053C"/>
    <w:rsid w:val="00A433BD"/>
    <w:rsid w:val="00A9025D"/>
    <w:rsid w:val="00A93C41"/>
    <w:rsid w:val="00B866BB"/>
    <w:rsid w:val="00BA2047"/>
    <w:rsid w:val="00BB68CD"/>
    <w:rsid w:val="00BD50B9"/>
    <w:rsid w:val="00CE68CC"/>
    <w:rsid w:val="00D4447E"/>
    <w:rsid w:val="00D94554"/>
    <w:rsid w:val="00E95060"/>
    <w:rsid w:val="00F16BED"/>
    <w:rsid w:val="00FB0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7326"/>
  <w15:chartTrackingRefBased/>
  <w15:docId w15:val="{04AFBC70-D672-4219-AE92-D0D67AC3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71FC5"/>
    <w:pPr>
      <w:spacing w:after="300" w:line="240" w:lineRule="auto"/>
    </w:pPr>
    <w:rPr>
      <w:rFonts w:ascii="Times New Roman" w:eastAsia="Times New Roman" w:hAnsi="Times New Roman" w:cs="Times New Roman"/>
      <w:kern w:val="0"/>
      <w:sz w:val="24"/>
      <w:szCs w:val="24"/>
      <w:lang w:eastAsia="it-IT"/>
      <w14:ligatures w14:val="none"/>
    </w:rPr>
  </w:style>
  <w:style w:type="paragraph" w:customStyle="1" w:styleId="Contenutotabella">
    <w:name w:val="Contenuto tabella"/>
    <w:basedOn w:val="Normale"/>
    <w:rsid w:val="00271FC5"/>
    <w:pPr>
      <w:suppressLineNumbers/>
      <w:suppressAutoHyphens/>
      <w:spacing w:after="0" w:line="240" w:lineRule="auto"/>
    </w:pPr>
    <w:rPr>
      <w:rFonts w:ascii="Arial" w:eastAsia="SimSun" w:hAnsi="Arial" w:cs="Arial"/>
      <w:bCs/>
      <w:kern w:val="0"/>
      <w:sz w:val="24"/>
      <w:szCs w:val="24"/>
      <w:lang w:eastAsia="zh-CN"/>
      <w14:ligatures w14:val="none"/>
    </w:rPr>
  </w:style>
  <w:style w:type="paragraph" w:styleId="Paragrafoelenco">
    <w:name w:val="List Paragraph"/>
    <w:basedOn w:val="Normale"/>
    <w:uiPriority w:val="34"/>
    <w:qFormat/>
    <w:rsid w:val="00980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Cereda</dc:creator>
  <cp:keywords/>
  <dc:description/>
  <cp:lastModifiedBy>Maria Ambrisi</cp:lastModifiedBy>
  <cp:revision>2</cp:revision>
  <dcterms:created xsi:type="dcterms:W3CDTF">2023-06-29T12:04:00Z</dcterms:created>
  <dcterms:modified xsi:type="dcterms:W3CDTF">2023-06-29T12:04:00Z</dcterms:modified>
</cp:coreProperties>
</file>