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47" w:rsidRDefault="00280747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CONVENZIONE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TRA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 xml:space="preserve">Agenzia di Tutela </w:t>
      </w:r>
      <w:r w:rsidR="00280747">
        <w:rPr>
          <w:rFonts w:ascii="Century Gothic" w:hAnsi="Century Gothic" w:cs="CenturyGothic-Bold"/>
          <w:b/>
          <w:bCs/>
          <w:sz w:val="28"/>
          <w:szCs w:val="28"/>
        </w:rPr>
        <w:t>della Salute della BRIANZA</w:t>
      </w:r>
    </w:p>
    <w:p w:rsidR="00856F1E" w:rsidRPr="00C55153" w:rsidRDefault="00C55153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E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____________________________</w:t>
      </w:r>
    </w:p>
    <w:p w:rsidR="00E15B44" w:rsidRPr="00C55153" w:rsidRDefault="00E15B44" w:rsidP="00E15B44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(capofila Ambito Territoriale/Distrettuale)</w:t>
      </w:r>
    </w:p>
    <w:p w:rsidR="00701E6B" w:rsidRPr="00C55153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</w:p>
    <w:p w:rsidR="00E15B44" w:rsidRDefault="00856F1E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 w:cs="CenturyGothic-Bold"/>
          <w:b/>
          <w:bCs/>
          <w:sz w:val="24"/>
          <w:szCs w:val="24"/>
        </w:rPr>
        <w:t>per l</w:t>
      </w:r>
      <w:r w:rsidR="00701E6B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’attuazione di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701E6B" w:rsidRPr="00C55153">
        <w:rPr>
          <w:rFonts w:ascii="Century Gothic" w:hAnsi="Century Gothic"/>
          <w:b/>
          <w:bCs/>
          <w:sz w:val="24"/>
          <w:szCs w:val="24"/>
        </w:rPr>
        <w:t xml:space="preserve">zioni locali di sistema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>nell’ambito della programmazione delle progettualit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à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 degli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A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mbiti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T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erritoriali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per la prevenzione e contrasto al gioco d’azzardo patologico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>in attuazione della l.r. 21 ottobre 2013, n. 8</w:t>
      </w:r>
    </w:p>
    <w:p w:rsidR="00856F1E" w:rsidRPr="00C55153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ai sensi della DGR</w:t>
      </w:r>
      <w:r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N./XI/2609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del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 09.10.2019</w:t>
      </w:r>
    </w:p>
    <w:p w:rsidR="00701E6B" w:rsidRPr="00C55153" w:rsidRDefault="00701E6B" w:rsidP="00E15B4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701E6B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Gothic-Bold" w:hAnsi="CenturyGothic-Bold" w:cs="CenturyGothic-Bold"/>
          <w:b/>
          <w:bCs/>
        </w:rPr>
      </w:pPr>
    </w:p>
    <w:p w:rsidR="00856F1E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In data …………….tra l’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5E39FD">
        <w:rPr>
          <w:rFonts w:ascii="Century Gothic" w:hAnsi="Century Gothic" w:cs="CenturyGothic-Bold"/>
          <w:b/>
          <w:bCs/>
          <w:sz w:val="24"/>
          <w:szCs w:val="24"/>
        </w:rPr>
        <w:t>genzia di Tutela della Salute della Brianza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(di seguito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per brevità ATS) con sede a </w:t>
      </w:r>
      <w:r w:rsidR="005E39FD">
        <w:rPr>
          <w:rFonts w:ascii="Century Gothic" w:hAnsi="Century Gothic" w:cs="CenturyGothic"/>
          <w:sz w:val="24"/>
          <w:szCs w:val="24"/>
        </w:rPr>
        <w:t>Monza</w:t>
      </w:r>
      <w:r w:rsidRPr="00E15B44">
        <w:rPr>
          <w:rFonts w:ascii="Century Gothic" w:hAnsi="Century Gothic" w:cs="CenturyGothic"/>
          <w:sz w:val="24"/>
          <w:szCs w:val="24"/>
        </w:rPr>
        <w:t xml:space="preserve">  Via</w:t>
      </w:r>
      <w:r w:rsidR="005E39FD">
        <w:rPr>
          <w:rFonts w:ascii="Century Gothic" w:hAnsi="Century Gothic" w:cs="CenturyGothic"/>
          <w:sz w:val="24"/>
          <w:szCs w:val="24"/>
        </w:rPr>
        <w:t xml:space="preserve">le </w:t>
      </w:r>
      <w:proofErr w:type="spellStart"/>
      <w:r w:rsidR="005E39FD">
        <w:rPr>
          <w:rFonts w:ascii="Century Gothic" w:hAnsi="Century Gothic" w:cs="CenturyGothic"/>
          <w:sz w:val="24"/>
          <w:szCs w:val="24"/>
        </w:rPr>
        <w:t>Elvezia</w:t>
      </w:r>
      <w:proofErr w:type="spellEnd"/>
      <w:r w:rsidRPr="00E15B44">
        <w:rPr>
          <w:rFonts w:ascii="Century Gothic" w:hAnsi="Century Gothic" w:cs="CenturyGothic"/>
          <w:sz w:val="24"/>
          <w:szCs w:val="24"/>
        </w:rPr>
        <w:t xml:space="preserve"> n. </w:t>
      </w:r>
      <w:r w:rsidR="005E39FD">
        <w:rPr>
          <w:rFonts w:ascii="Century Gothic" w:hAnsi="Century Gothic" w:cs="CenturyGothic"/>
          <w:sz w:val="24"/>
          <w:szCs w:val="24"/>
        </w:rPr>
        <w:t xml:space="preserve">2, </w:t>
      </w:r>
      <w:r w:rsidRPr="00E15B44">
        <w:rPr>
          <w:rFonts w:ascii="Century Gothic" w:hAnsi="Century Gothic" w:cs="CenturyGothic"/>
          <w:sz w:val="24"/>
          <w:szCs w:val="24"/>
        </w:rPr>
        <w:t>Codice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Fiscale e Partita IVA n. </w:t>
      </w:r>
      <w:r w:rsidR="005E39FD" w:rsidRPr="005E39FD">
        <w:rPr>
          <w:rFonts w:ascii="Century Gothic" w:hAnsi="Century Gothic" w:cs="CenturyGothic"/>
          <w:sz w:val="24"/>
          <w:szCs w:val="24"/>
        </w:rPr>
        <w:t>09314190969</w:t>
      </w:r>
      <w:r w:rsidRPr="00E15B44">
        <w:rPr>
          <w:rFonts w:ascii="Century Gothic" w:hAnsi="Century Gothic" w:cs="CenturyGothic"/>
          <w:sz w:val="24"/>
          <w:szCs w:val="24"/>
        </w:rPr>
        <w:t>, rappresentata dal Direttore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Generale </w:t>
      </w:r>
      <w:r w:rsidR="005E39FD">
        <w:rPr>
          <w:rFonts w:ascii="Century Gothic" w:hAnsi="Century Gothic" w:cs="CenturyGothic"/>
          <w:sz w:val="24"/>
          <w:szCs w:val="24"/>
        </w:rPr>
        <w:t xml:space="preserve">Dott. Silvano </w:t>
      </w:r>
      <w:proofErr w:type="spellStart"/>
      <w:r w:rsidR="005E39FD">
        <w:rPr>
          <w:rFonts w:ascii="Century Gothic" w:hAnsi="Century Gothic" w:cs="CenturyGothic"/>
          <w:sz w:val="24"/>
          <w:szCs w:val="24"/>
        </w:rPr>
        <w:t>Casazza</w:t>
      </w:r>
      <w:proofErr w:type="spellEnd"/>
      <w:r w:rsidR="005E39FD">
        <w:rPr>
          <w:rFonts w:ascii="Century Gothic" w:hAnsi="Century Gothic" w:cs="CenturyGothic"/>
          <w:sz w:val="24"/>
          <w:szCs w:val="24"/>
        </w:rPr>
        <w:t xml:space="preserve"> nato </w:t>
      </w:r>
      <w:r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5E39FD">
        <w:rPr>
          <w:rFonts w:ascii="Century Gothic" w:hAnsi="Century Gothic" w:cs="CenturyGothic"/>
          <w:sz w:val="24"/>
          <w:szCs w:val="24"/>
        </w:rPr>
        <w:t xml:space="preserve">a Cassano d’Adda </w:t>
      </w:r>
      <w:r w:rsidR="009F11C0">
        <w:rPr>
          <w:rFonts w:ascii="Century Gothic" w:hAnsi="Century Gothic" w:cs="CenturyGothic"/>
          <w:sz w:val="24"/>
          <w:szCs w:val="24"/>
        </w:rPr>
        <w:t>(</w:t>
      </w:r>
      <w:proofErr w:type="spellStart"/>
      <w:r w:rsidR="009F11C0">
        <w:rPr>
          <w:rFonts w:ascii="Century Gothic" w:hAnsi="Century Gothic" w:cs="CenturyGothic"/>
          <w:sz w:val="24"/>
          <w:szCs w:val="24"/>
        </w:rPr>
        <w:t>MI</w:t>
      </w:r>
      <w:proofErr w:type="spellEnd"/>
      <w:r w:rsidRPr="00E15B44">
        <w:rPr>
          <w:rFonts w:ascii="Century Gothic" w:hAnsi="Century Gothic" w:cs="CenturyGothic"/>
          <w:sz w:val="24"/>
          <w:szCs w:val="24"/>
        </w:rPr>
        <w:t xml:space="preserve">) in data </w:t>
      </w:r>
      <w:r w:rsidR="009F11C0">
        <w:rPr>
          <w:rFonts w:ascii="Century Gothic" w:hAnsi="Century Gothic" w:cs="CenturyGothic"/>
          <w:sz w:val="24"/>
          <w:szCs w:val="24"/>
        </w:rPr>
        <w:t>23/4/1957</w:t>
      </w:r>
      <w:r w:rsidRPr="00E15B44">
        <w:rPr>
          <w:rFonts w:ascii="Century Gothic" w:hAnsi="Century Gothic" w:cs="CenturyGothic"/>
          <w:sz w:val="24"/>
          <w:szCs w:val="24"/>
        </w:rPr>
        <w:t>,</w:t>
      </w:r>
    </w:p>
    <w:p w:rsidR="00C55153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domiciliato/a per la carica presso la sede </w:t>
      </w:r>
      <w:r w:rsidR="00217090">
        <w:rPr>
          <w:rFonts w:ascii="Century Gothic" w:hAnsi="Century Gothic" w:cs="CenturyGothic"/>
          <w:sz w:val="24"/>
          <w:szCs w:val="24"/>
        </w:rPr>
        <w:t xml:space="preserve">dell’ </w:t>
      </w:r>
      <w:r w:rsidRPr="00E15B44">
        <w:rPr>
          <w:rFonts w:ascii="Century Gothic" w:hAnsi="Century Gothic" w:cs="CenturyGothic"/>
          <w:sz w:val="24"/>
          <w:szCs w:val="24"/>
        </w:rPr>
        <w:t>ATS,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:rsidR="0019334A" w:rsidRPr="00E15B44" w:rsidRDefault="00C55153" w:rsidP="00217090">
      <w:pPr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e </w:t>
      </w:r>
      <w:r w:rsidR="00856F1E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l’Ente 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>Cap</w:t>
      </w:r>
      <w:r w:rsidR="0019334A" w:rsidRPr="00E15B44">
        <w:rPr>
          <w:rFonts w:ascii="Century Gothic" w:hAnsi="Century Gothic" w:cs="CenturyGothic"/>
          <w:b/>
          <w:bCs/>
          <w:sz w:val="24"/>
          <w:szCs w:val="24"/>
        </w:rPr>
        <w:t>o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fila dell’Ambito </w:t>
      </w:r>
      <w:r w:rsidR="00856F1E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______________________________ </w:t>
      </w:r>
      <w:r w:rsidR="00856F1E" w:rsidRPr="00E15B44">
        <w:rPr>
          <w:rFonts w:ascii="Century Gothic" w:hAnsi="Century Gothic" w:cs="CenturyGothic"/>
          <w:sz w:val="24"/>
          <w:szCs w:val="24"/>
        </w:rPr>
        <w:t>(di seguito per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brevità denominato “Ente”), con sede legale in ____________via_______________ n. ____ Codice Fiscale/partita IVA _________________ nella persona del suo legale rappresentante_____________________ nato/a a _________________ il _____________ e residente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a ____________________ in via ______________ n. _____, abilitato alla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sottoscrizione del presente atto,</w:t>
      </w:r>
    </w:p>
    <w:p w:rsidR="00046F94" w:rsidRPr="00E15B44" w:rsidRDefault="00046F94" w:rsidP="00217090">
      <w:pPr>
        <w:pStyle w:val="Corpodeltesto"/>
        <w:spacing w:before="196" w:after="120" w:line="252" w:lineRule="auto"/>
        <w:jc w:val="both"/>
      </w:pPr>
      <w:r w:rsidRPr="00E15B44">
        <w:rPr>
          <w:rFonts w:cs="CenturyGothic"/>
          <w:b/>
          <w:bCs/>
        </w:rPr>
        <w:t xml:space="preserve">VISTA </w:t>
      </w:r>
      <w:r w:rsidRPr="00E15B44">
        <w:rPr>
          <w:rFonts w:cs="CenturyGothic"/>
        </w:rPr>
        <w:t xml:space="preserve">la legge regionale n. 8/2013 </w:t>
      </w:r>
      <w:r w:rsidRPr="00E15B44">
        <w:t xml:space="preserve">“Norme per la prevenzione e il trattamento del gioco d’azzardo patologico” e </w:t>
      </w:r>
      <w:proofErr w:type="spellStart"/>
      <w:r w:rsidRPr="00E15B44">
        <w:t>s.m.i.</w:t>
      </w:r>
      <w:proofErr w:type="spellEnd"/>
      <w:r w:rsidRPr="00E15B44">
        <w:t>, che reca disposizioni finalizzate alla prevenzione e al contrasto di forme di dipendenza dal gioco d’azzardo patologico, al trattamento e al recupero delle persone che ne sono affette e al supporto delle loro famiglie;</w:t>
      </w:r>
    </w:p>
    <w:p w:rsidR="00046F94" w:rsidRPr="00E15B44" w:rsidRDefault="00046F94" w:rsidP="00217090">
      <w:pPr>
        <w:pStyle w:val="Corpodeltesto"/>
        <w:spacing w:after="120" w:line="252" w:lineRule="auto"/>
        <w:jc w:val="both"/>
      </w:pPr>
      <w:r w:rsidRPr="00E15B44">
        <w:rPr>
          <w:b/>
        </w:rPr>
        <w:t xml:space="preserve">VISTO, </w:t>
      </w:r>
      <w:r w:rsidRPr="00E15B44">
        <w:t>in particolare, l’art. 4 della sopra indicata l.r. n. 8/2013, che stabilisce le competenze di Regione Lombardia di sostegno e collaborazione con i Comuni, le ATS, i soggetti del Terzo settore, gli enti accreditati per i servizi nell’area delle dipendenze, le associazioni di rappresentanza delle imprese e degli operatori di settore, nonché le associazioni di tutela dei diritti di consumatori e utenti per contrastare il fenomeno della dipendenza dal gioco;</w:t>
      </w:r>
    </w:p>
    <w:p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lastRenderedPageBreak/>
        <w:t>VISTA</w:t>
      </w:r>
      <w:r w:rsidRPr="00E15B44">
        <w:rPr>
          <w:rFonts w:ascii="Century Gothic" w:hAnsi="Century Gothic" w:cs="CenturyGothic"/>
          <w:sz w:val="24"/>
          <w:szCs w:val="24"/>
        </w:rPr>
        <w:t xml:space="preserve"> la DGR N. XI/2609 del 09.12.2019 con la quale Regione Lombardia ha approvato la programmazione e attuazione di azioni di sistema per la prevenzione e il contrasto al gioco d’azzardo patologico, individuando un modello organizzativo e di governance per la loro attuazione e indirizzando le azioni locali in un contesto programmatorio orientato all’integrazione e alla realizzazione di azioni che garantiscano uniformità a livello territoriale; </w:t>
      </w:r>
    </w:p>
    <w:p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CONSIDERATO</w:t>
      </w:r>
      <w:r w:rsidRPr="00E15B44">
        <w:rPr>
          <w:rFonts w:ascii="Century Gothic" w:hAnsi="Century Gothic" w:cs="CenturyGothic"/>
          <w:sz w:val="24"/>
          <w:szCs w:val="24"/>
        </w:rPr>
        <w:t xml:space="preserve"> che la sopra citata DGR N.XI/2609/2019 stabilisce:</w:t>
      </w:r>
    </w:p>
    <w:p w:rsidR="003E5BBC" w:rsidRPr="00E15B44" w:rsidRDefault="003E5BBC" w:rsidP="00E15B44">
      <w:pPr>
        <w:pStyle w:val="Paragrafoelenco"/>
        <w:numPr>
          <w:ilvl w:val="0"/>
          <w:numId w:val="1"/>
        </w:numPr>
        <w:spacing w:after="120" w:line="252" w:lineRule="auto"/>
        <w:ind w:right="0"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di affidare alle ATS l’adozione dei provvedimenti propedeutici all’avvio degli interventi, la regia del percorso di attuazione da parte degli Ambiti, il coordinamento e il monitoraggio della realizzazione a livello territoriale del modello individuato con detto provvedimento; </w:t>
      </w:r>
    </w:p>
    <w:p w:rsidR="003E5BBC" w:rsidRPr="00E15B44" w:rsidRDefault="003E5BBC" w:rsidP="00E15B44">
      <w:pPr>
        <w:pStyle w:val="Paragrafoelenco"/>
        <w:numPr>
          <w:ilvl w:val="0"/>
          <w:numId w:val="1"/>
        </w:numPr>
        <w:adjustRightInd w:val="0"/>
        <w:spacing w:after="120" w:line="252" w:lineRule="auto"/>
        <w:ind w:right="-1"/>
        <w:rPr>
          <w:rFonts w:cs="CenturyGothic"/>
          <w:sz w:val="24"/>
          <w:szCs w:val="24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di affidare agli Ambiti individuati dalle ATS</w:t>
      </w:r>
      <w:r w:rsidR="00217090">
        <w:rPr>
          <w:rFonts w:eastAsiaTheme="minorHAnsi" w:cs="CenturyGothic"/>
          <w:sz w:val="24"/>
          <w:szCs w:val="24"/>
          <w:lang w:eastAsia="en-US" w:bidi="ar-SA"/>
        </w:rPr>
        <w:t xml:space="preserve">, 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 seguito di Manifestazione di interesse, la realizzazione del modello e degli interventi approvati;  </w:t>
      </w:r>
    </w:p>
    <w:p w:rsidR="003E5BBC" w:rsidRPr="00E15B44" w:rsidRDefault="003E5BBC" w:rsidP="00217090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VISTO</w:t>
      </w:r>
      <w:r w:rsidRPr="00E15B44">
        <w:rPr>
          <w:rFonts w:ascii="Century Gothic" w:hAnsi="Century Gothic" w:cs="CenturyGothic"/>
          <w:sz w:val="24"/>
          <w:szCs w:val="24"/>
        </w:rPr>
        <w:t xml:space="preserve"> il decreto r</w:t>
      </w:r>
      <w:r w:rsidR="000179E1">
        <w:rPr>
          <w:rFonts w:ascii="Century Gothic" w:hAnsi="Century Gothic" w:cs="CenturyGothic"/>
          <w:sz w:val="24"/>
          <w:szCs w:val="24"/>
        </w:rPr>
        <w:t xml:space="preserve">egionale n. 18731 del 19/12/2019 </w:t>
      </w:r>
      <w:r w:rsidRPr="00E15B44">
        <w:rPr>
          <w:rFonts w:ascii="Century Gothic" w:hAnsi="Century Gothic" w:cs="CenturyGothic"/>
          <w:sz w:val="24"/>
          <w:szCs w:val="24"/>
        </w:rPr>
        <w:t xml:space="preserve"> con il quale sono state fornite le prime indicazioni per l’attuazione della DGR N.XI/2609/2019; </w:t>
      </w:r>
    </w:p>
    <w:p w:rsidR="003E5BBC" w:rsidRPr="002B0D2D" w:rsidRDefault="003E5BBC" w:rsidP="00E15B44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2B0D2D">
        <w:rPr>
          <w:rFonts w:ascii="Century Gothic" w:hAnsi="Century Gothic" w:cs="CenturyGothic"/>
          <w:b/>
          <w:bCs/>
          <w:sz w:val="24"/>
          <w:szCs w:val="24"/>
        </w:rPr>
        <w:t xml:space="preserve">VISTA </w:t>
      </w:r>
      <w:r w:rsidRPr="002B0D2D">
        <w:rPr>
          <w:rFonts w:ascii="Century Gothic" w:hAnsi="Century Gothic" w:cs="CenturyGothic"/>
          <w:sz w:val="24"/>
          <w:szCs w:val="24"/>
        </w:rPr>
        <w:t>la Manif</w:t>
      </w:r>
      <w:r w:rsidR="00046F94" w:rsidRPr="002B0D2D">
        <w:rPr>
          <w:rFonts w:ascii="Century Gothic" w:hAnsi="Century Gothic" w:cs="CenturyGothic"/>
          <w:sz w:val="24"/>
          <w:szCs w:val="24"/>
        </w:rPr>
        <w:t>e</w:t>
      </w:r>
      <w:r w:rsidRPr="002B0D2D">
        <w:rPr>
          <w:rFonts w:ascii="Century Gothic" w:hAnsi="Century Gothic" w:cs="CenturyGothic"/>
          <w:sz w:val="24"/>
          <w:szCs w:val="24"/>
        </w:rPr>
        <w:t xml:space="preserve">stazione di interesse pubblicata dall’ATS </w:t>
      </w:r>
      <w:r w:rsidR="000179E1" w:rsidRPr="002B0D2D">
        <w:rPr>
          <w:rFonts w:ascii="Century Gothic" w:hAnsi="Century Gothic" w:cs="CenturyGothic"/>
          <w:sz w:val="24"/>
          <w:szCs w:val="24"/>
        </w:rPr>
        <w:t>della Brianza</w:t>
      </w:r>
      <w:r w:rsidR="00217090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 xml:space="preserve"> in data</w:t>
      </w:r>
      <w:r w:rsidR="00217090" w:rsidRPr="002B0D2D">
        <w:rPr>
          <w:rFonts w:ascii="Century Gothic" w:hAnsi="Century Gothic" w:cs="CenturyGothic"/>
          <w:sz w:val="24"/>
          <w:szCs w:val="24"/>
        </w:rPr>
        <w:t>_______</w:t>
      </w:r>
      <w:r w:rsidR="000179E1" w:rsidRPr="002B0D2D">
        <w:rPr>
          <w:rFonts w:ascii="Century Gothic" w:hAnsi="Century Gothic" w:cs="CenturyGothic"/>
          <w:sz w:val="24"/>
          <w:szCs w:val="24"/>
        </w:rPr>
        <w:t xml:space="preserve"> con la</w:t>
      </w:r>
      <w:r w:rsidR="00EF6826" w:rsidRPr="002B0D2D">
        <w:rPr>
          <w:rFonts w:ascii="Century Gothic" w:hAnsi="Century Gothic" w:cs="CenturyGothic"/>
          <w:sz w:val="24"/>
          <w:szCs w:val="24"/>
        </w:rPr>
        <w:t xml:space="preserve"> quale, in conformità con la DGR N. XI/2609/2019</w:t>
      </w:r>
      <w:r w:rsidR="00217090" w:rsidRPr="002B0D2D">
        <w:rPr>
          <w:rFonts w:ascii="Century Gothic" w:hAnsi="Century Gothic" w:cs="CenturyGothic"/>
          <w:sz w:val="24"/>
          <w:szCs w:val="24"/>
        </w:rPr>
        <w:t xml:space="preserve">, </w:t>
      </w:r>
      <w:r w:rsidR="00EF6826" w:rsidRPr="002B0D2D">
        <w:rPr>
          <w:rFonts w:ascii="Century Gothic" w:hAnsi="Century Gothic" w:cs="CenturyGothic"/>
          <w:sz w:val="24"/>
          <w:szCs w:val="24"/>
        </w:rPr>
        <w:t xml:space="preserve"> sono stati tra l’altro approvati i requisiti di ammissibilità e i criteri per la selezione delle candidature</w:t>
      </w:r>
      <w:r w:rsidR="00046F94" w:rsidRPr="002B0D2D">
        <w:rPr>
          <w:rFonts w:ascii="Century Gothic" w:hAnsi="Century Gothic" w:cs="CenturyGothic"/>
          <w:sz w:val="24"/>
          <w:szCs w:val="24"/>
        </w:rPr>
        <w:t xml:space="preserve">; </w:t>
      </w:r>
    </w:p>
    <w:p w:rsidR="00856F1E" w:rsidRDefault="00856F1E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2B0D2D">
        <w:rPr>
          <w:rFonts w:ascii="Century Gothic" w:hAnsi="Century Gothic" w:cs="CenturyGothic-Bold"/>
          <w:b/>
          <w:bCs/>
          <w:sz w:val="24"/>
          <w:szCs w:val="24"/>
        </w:rPr>
        <w:t>VISTO</w:t>
      </w:r>
      <w:r w:rsidR="00C55153" w:rsidRPr="002B0D2D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 xml:space="preserve">l’atto n. ___ del ____________ dell’ ATS con 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il quale </w:t>
      </w:r>
      <w:r w:rsidRPr="002B0D2D">
        <w:rPr>
          <w:rFonts w:ascii="Century Gothic" w:hAnsi="Century Gothic" w:cs="CenturyGothic"/>
          <w:sz w:val="24"/>
          <w:szCs w:val="24"/>
        </w:rPr>
        <w:t xml:space="preserve"> è stat</w:t>
      </w:r>
      <w:r w:rsidR="0019334A" w:rsidRPr="002B0D2D">
        <w:rPr>
          <w:rFonts w:ascii="Century Gothic" w:hAnsi="Century Gothic" w:cs="CenturyGothic"/>
          <w:sz w:val="24"/>
          <w:szCs w:val="24"/>
        </w:rPr>
        <w:t>a</w:t>
      </w:r>
      <w:r w:rsidRPr="002B0D2D">
        <w:rPr>
          <w:rFonts w:ascii="Century Gothic" w:hAnsi="Century Gothic" w:cs="CenturyGothic"/>
          <w:sz w:val="24"/>
          <w:szCs w:val="24"/>
        </w:rPr>
        <w:t xml:space="preserve"> approvat</w:t>
      </w:r>
      <w:r w:rsidR="0019334A" w:rsidRPr="002B0D2D">
        <w:rPr>
          <w:rFonts w:ascii="Century Gothic" w:hAnsi="Century Gothic" w:cs="CenturyGothic"/>
          <w:sz w:val="24"/>
          <w:szCs w:val="24"/>
        </w:rPr>
        <w:t>a</w:t>
      </w:r>
      <w:r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="0019334A" w:rsidRPr="002B0D2D">
        <w:rPr>
          <w:rFonts w:ascii="Century Gothic" w:hAnsi="Century Gothic" w:cs="CenturyGothic"/>
          <w:sz w:val="24"/>
          <w:szCs w:val="24"/>
        </w:rPr>
        <w:t>la graduatoria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>degli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 Ambiti ammessi a finanziamento per l’attuazione di azioni locali di sistema nel quadro del modello organizzativo e di governance individuato dalla DGR N. XI/2609/2019</w:t>
      </w:r>
    </w:p>
    <w:p w:rsidR="00E15B44" w:rsidRPr="00E15B44" w:rsidRDefault="00E15B4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SI CONVIENE QUANTO SEGUE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1 - OGGETTO</w:t>
      </w:r>
    </w:p>
    <w:p w:rsidR="00046F94" w:rsidRPr="00E15B44" w:rsidRDefault="00046F9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217090">
        <w:rPr>
          <w:rFonts w:ascii="Century Gothic" w:hAnsi="Century Gothic" w:cs="CenturyGothic"/>
          <w:sz w:val="24"/>
          <w:szCs w:val="24"/>
        </w:rPr>
        <w:t xml:space="preserve">La presente convenzione ha per oggetto la realizzazione del modello organizzativo e di governance e del programma di interventi per la prevenzione </w:t>
      </w:r>
      <w:r w:rsidRPr="002B0D2D">
        <w:rPr>
          <w:rFonts w:ascii="Century Gothic" w:hAnsi="Century Gothic" w:cs="CenturyGothic"/>
          <w:sz w:val="24"/>
          <w:szCs w:val="24"/>
        </w:rPr>
        <w:t>e al contrasto al gioco approvato con atto n. _</w:t>
      </w:r>
      <w:r w:rsidR="00EF6826" w:rsidRPr="002B0D2D">
        <w:rPr>
          <w:rFonts w:ascii="Century Gothic" w:hAnsi="Century Gothic" w:cs="CenturyGothic"/>
          <w:sz w:val="24"/>
          <w:szCs w:val="24"/>
        </w:rPr>
        <w:t>____</w:t>
      </w:r>
      <w:r w:rsidRPr="002B0D2D">
        <w:rPr>
          <w:rFonts w:ascii="Century Gothic" w:hAnsi="Century Gothic" w:cs="CenturyGothic"/>
          <w:sz w:val="24"/>
          <w:szCs w:val="24"/>
        </w:rPr>
        <w:t>__ del ____________</w:t>
      </w:r>
      <w:r w:rsidR="000307C0" w:rsidRPr="002B0D2D">
        <w:rPr>
          <w:rFonts w:ascii="Century Gothic" w:hAnsi="Century Gothic" w:cs="CenturyGothic"/>
          <w:sz w:val="24"/>
          <w:szCs w:val="24"/>
        </w:rPr>
        <w:t xml:space="preserve"> dell’ ATS</w:t>
      </w:r>
      <w:r w:rsidR="000307C0">
        <w:rPr>
          <w:rFonts w:ascii="Century Gothic" w:hAnsi="Century Gothic" w:cs="CenturyGothic"/>
          <w:sz w:val="24"/>
          <w:szCs w:val="24"/>
        </w:rPr>
        <w:t xml:space="preserve"> della Brianza</w:t>
      </w:r>
      <w:r w:rsidRPr="00E15B44">
        <w:rPr>
          <w:rFonts w:ascii="Century Gothic" w:hAnsi="Century Gothic" w:cs="CenturyGothic"/>
          <w:sz w:val="24"/>
          <w:szCs w:val="24"/>
        </w:rPr>
        <w:t xml:space="preserve">, per il raggiungimento degli obiettivi ad essi correlati. </w:t>
      </w:r>
    </w:p>
    <w:p w:rsidR="00046F94" w:rsidRPr="00E15B44" w:rsidRDefault="00046F94" w:rsidP="00E15B44">
      <w:pPr>
        <w:pStyle w:val="Corpodeltesto"/>
        <w:tabs>
          <w:tab w:val="left" w:pos="8892"/>
        </w:tabs>
        <w:spacing w:before="100" w:after="120" w:line="252" w:lineRule="auto"/>
        <w:jc w:val="both"/>
      </w:pPr>
      <w:r w:rsidRPr="00E15B44">
        <w:t>Il</w:t>
      </w:r>
      <w:r w:rsidRPr="00E15B44">
        <w:rPr>
          <w:spacing w:val="-16"/>
        </w:rPr>
        <w:t xml:space="preserve"> </w:t>
      </w:r>
      <w:r w:rsidRPr="00E15B44">
        <w:t>contributo</w:t>
      </w:r>
      <w:r w:rsidRPr="00E15B44">
        <w:rPr>
          <w:spacing w:val="-26"/>
        </w:rPr>
        <w:t xml:space="preserve"> </w:t>
      </w:r>
      <w:r w:rsidRPr="00E15B44">
        <w:t>ammesso</w:t>
      </w:r>
      <w:r w:rsidRPr="00E15B44">
        <w:rPr>
          <w:spacing w:val="-25"/>
        </w:rPr>
        <w:t xml:space="preserve"> </w:t>
      </w:r>
      <w:r w:rsidRPr="00E15B44">
        <w:t>a</w:t>
      </w:r>
      <w:r w:rsidRPr="00E15B44">
        <w:rPr>
          <w:spacing w:val="-17"/>
        </w:rPr>
        <w:t xml:space="preserve"> </w:t>
      </w:r>
      <w:r w:rsidRPr="00E15B44">
        <w:t>finanziamento</w:t>
      </w:r>
      <w:r w:rsidRPr="00E15B44">
        <w:rPr>
          <w:spacing w:val="-28"/>
        </w:rPr>
        <w:t xml:space="preserve"> </w:t>
      </w:r>
      <w:r w:rsidRPr="00E15B44">
        <w:t>è</w:t>
      </w:r>
      <w:r w:rsidRPr="00E15B44">
        <w:rPr>
          <w:spacing w:val="-21"/>
        </w:rPr>
        <w:t xml:space="preserve"> </w:t>
      </w:r>
      <w:r w:rsidR="00217090">
        <w:t>pari a</w:t>
      </w:r>
      <w:r w:rsidRPr="00E15B44">
        <w:rPr>
          <w:spacing w:val="-20"/>
        </w:rPr>
        <w:t xml:space="preserve"> </w:t>
      </w:r>
      <w:r w:rsidRPr="00E15B44">
        <w:t>complessivi</w:t>
      </w:r>
      <w:r w:rsidRPr="00E15B44">
        <w:rPr>
          <w:spacing w:val="-22"/>
        </w:rPr>
        <w:t xml:space="preserve"> </w:t>
      </w:r>
      <w:r w:rsidRPr="00E15B44">
        <w:t>eur</w:t>
      </w:r>
      <w:r w:rsidR="00EF6826" w:rsidRPr="00E15B44">
        <w:t xml:space="preserve">o </w:t>
      </w:r>
      <w:r w:rsidR="002B0D2D">
        <w:t>183.361,96.=</w:t>
      </w:r>
    </w:p>
    <w:p w:rsidR="00046F94" w:rsidRDefault="00046F94" w:rsidP="00E15B44">
      <w:pPr>
        <w:pStyle w:val="Corpodeltesto"/>
        <w:tabs>
          <w:tab w:val="left" w:pos="4075"/>
        </w:tabs>
        <w:spacing w:before="134" w:after="120" w:line="252" w:lineRule="auto"/>
        <w:jc w:val="both"/>
      </w:pPr>
      <w:r w:rsidRPr="00E15B44">
        <w:t>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si impegna a realizzare </w:t>
      </w:r>
      <w:r w:rsidRPr="00E15B44">
        <w:rPr>
          <w:spacing w:val="2"/>
        </w:rPr>
        <w:t xml:space="preserve">le </w:t>
      </w:r>
      <w:r w:rsidRPr="00E15B44">
        <w:t>azioni in modo coerente con quanto previsto dal programma approvato e nel rispetto di tutte</w:t>
      </w:r>
      <w:r w:rsidRPr="00E15B44">
        <w:rPr>
          <w:spacing w:val="-8"/>
        </w:rPr>
        <w:t xml:space="preserve"> </w:t>
      </w:r>
      <w:r w:rsidRPr="00E15B44">
        <w:rPr>
          <w:spacing w:val="2"/>
        </w:rPr>
        <w:t>le</w:t>
      </w:r>
      <w:r w:rsidRPr="00E15B44">
        <w:rPr>
          <w:spacing w:val="-1"/>
        </w:rPr>
        <w:t xml:space="preserve"> </w:t>
      </w:r>
      <w:r w:rsidRPr="00E15B44">
        <w:t>prescrizioni</w:t>
      </w:r>
      <w:r w:rsidRPr="00E15B44">
        <w:rPr>
          <w:spacing w:val="-11"/>
        </w:rPr>
        <w:t xml:space="preserve"> </w:t>
      </w:r>
      <w:r w:rsidRPr="00E15B44">
        <w:t>contenute</w:t>
      </w:r>
      <w:r w:rsidRPr="00E15B44">
        <w:rPr>
          <w:spacing w:val="-11"/>
        </w:rPr>
        <w:t xml:space="preserve"> </w:t>
      </w:r>
      <w:r w:rsidRPr="00E15B44">
        <w:t>nella</w:t>
      </w:r>
      <w:r w:rsidRPr="00E15B44">
        <w:rPr>
          <w:spacing w:val="-7"/>
        </w:rPr>
        <w:t xml:space="preserve"> </w:t>
      </w:r>
      <w:r w:rsidRPr="00E15B44">
        <w:t>presente</w:t>
      </w:r>
      <w:r w:rsidRPr="00E15B44">
        <w:rPr>
          <w:spacing w:val="-9"/>
        </w:rPr>
        <w:t xml:space="preserve"> </w:t>
      </w:r>
      <w:r w:rsidRPr="00E15B44">
        <w:t>convenzione.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RT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. 2  - TERRITORIO DI RIFERIMENTO PER L’ATTUAZIONE DEL PROGRAMMA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t xml:space="preserve">La realizzazione del modello organizzativo e di governance per la prevenzione e il contrasto del gioco d’azzardo patologico e le azioni previste dal </w:t>
      </w:r>
      <w:r w:rsidR="00217090">
        <w:rPr>
          <w:rFonts w:ascii="Century Gothic" w:hAnsi="Century Gothic" w:cs="CenturyGothic-Bold"/>
          <w:sz w:val="24"/>
          <w:szCs w:val="24"/>
        </w:rPr>
        <w:t xml:space="preserve">piano </w:t>
      </w:r>
      <w:r w:rsidR="00217090" w:rsidRPr="002B0D2D">
        <w:rPr>
          <w:rFonts w:ascii="Century Gothic" w:hAnsi="Century Gothic" w:cs="CenturyGothic-Bold"/>
          <w:sz w:val="24"/>
          <w:szCs w:val="24"/>
        </w:rPr>
        <w:t xml:space="preserve">operativo </w:t>
      </w:r>
      <w:r w:rsidRPr="002B0D2D">
        <w:rPr>
          <w:rFonts w:ascii="Century Gothic" w:hAnsi="Century Gothic" w:cs="CenturyGothic-Bold"/>
          <w:sz w:val="24"/>
          <w:szCs w:val="24"/>
        </w:rPr>
        <w:t xml:space="preserve">saranno realizzate negli Ambiti di </w:t>
      </w:r>
      <w:r w:rsidR="00E15B44" w:rsidRPr="002B0D2D">
        <w:rPr>
          <w:rFonts w:ascii="Century Gothic" w:hAnsi="Century Gothic" w:cs="CenturyGothic-Bold"/>
          <w:sz w:val="24"/>
          <w:szCs w:val="24"/>
        </w:rPr>
        <w:t xml:space="preserve">__________________________________ e </w:t>
      </w:r>
      <w:r w:rsidRPr="002B0D2D">
        <w:rPr>
          <w:rFonts w:ascii="Century Gothic" w:hAnsi="Century Gothic" w:cs="CenturyGothic-Bold"/>
          <w:sz w:val="24"/>
          <w:szCs w:val="24"/>
        </w:rPr>
        <w:t xml:space="preserve"> </w:t>
      </w:r>
      <w:r w:rsidR="00D13084" w:rsidRPr="002B0D2D">
        <w:rPr>
          <w:rFonts w:ascii="Century Gothic" w:hAnsi="Century Gothic" w:cs="CenturyGothic-Bold"/>
          <w:sz w:val="24"/>
          <w:szCs w:val="24"/>
        </w:rPr>
        <w:t xml:space="preserve">con </w:t>
      </w:r>
      <w:r w:rsidRPr="002B0D2D">
        <w:rPr>
          <w:rFonts w:ascii="Century Gothic" w:hAnsi="Century Gothic" w:cs="CenturyGothic-Bold"/>
          <w:sz w:val="24"/>
          <w:szCs w:val="24"/>
        </w:rPr>
        <w:t xml:space="preserve">il coinvolgimento di n. </w:t>
      </w:r>
      <w:r w:rsidR="00E15B44" w:rsidRPr="002B0D2D">
        <w:rPr>
          <w:rFonts w:ascii="Century Gothic" w:hAnsi="Century Gothic" w:cs="CenturyGothic-Bold"/>
          <w:sz w:val="24"/>
          <w:szCs w:val="24"/>
        </w:rPr>
        <w:t>___</w:t>
      </w:r>
      <w:r w:rsidRPr="002B0D2D">
        <w:rPr>
          <w:rFonts w:ascii="Century Gothic" w:hAnsi="Century Gothic" w:cs="CenturyGothic-Bold"/>
          <w:sz w:val="24"/>
          <w:szCs w:val="24"/>
        </w:rPr>
        <w:t xml:space="preserve">   Comuni</w:t>
      </w:r>
      <w:r w:rsidR="00E15B44" w:rsidRPr="002B0D2D">
        <w:rPr>
          <w:rFonts w:ascii="Century Gothic" w:hAnsi="Century Gothic" w:cs="CenturyGothic-Bold"/>
          <w:sz w:val="24"/>
          <w:szCs w:val="24"/>
        </w:rPr>
        <w:t>.</w:t>
      </w:r>
    </w:p>
    <w:p w:rsidR="00E37E85" w:rsidRPr="00E15B44" w:rsidRDefault="00E37E85" w:rsidP="00E15B44">
      <w:pPr>
        <w:pStyle w:val="Titolo1"/>
        <w:spacing w:after="120" w:line="252" w:lineRule="auto"/>
        <w:ind w:left="0" w:right="1352"/>
        <w:jc w:val="left"/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</w:pPr>
      <w:r w:rsidRPr="00E15B44">
        <w:rPr>
          <w:rFonts w:eastAsiaTheme="minorHAnsi" w:cs="CenturyGothic-Bold"/>
          <w:sz w:val="24"/>
          <w:szCs w:val="24"/>
          <w:lang w:eastAsia="en-US" w:bidi="ar-SA"/>
        </w:rPr>
        <w:t>ART. 3</w:t>
      </w:r>
      <w:r w:rsidRPr="00E15B44"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  <w:t xml:space="preserve"> – </w:t>
      </w:r>
      <w:r w:rsidRPr="00E15B44">
        <w:rPr>
          <w:rFonts w:eastAsiaTheme="minorHAnsi" w:cs="CenturyGothic-Bold"/>
          <w:sz w:val="24"/>
          <w:szCs w:val="24"/>
          <w:lang w:eastAsia="en-US" w:bidi="ar-SA"/>
        </w:rPr>
        <w:t xml:space="preserve">DURATA </w:t>
      </w:r>
    </w:p>
    <w:p w:rsidR="00E15B44" w:rsidRPr="00E15B44" w:rsidRDefault="00E37E85" w:rsidP="00E15B44">
      <w:pPr>
        <w:spacing w:after="120" w:line="252" w:lineRule="auto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t xml:space="preserve">La </w:t>
      </w:r>
      <w:r w:rsidR="00E15B44" w:rsidRPr="00E15B44">
        <w:rPr>
          <w:rFonts w:ascii="Century Gothic" w:hAnsi="Century Gothic" w:cs="CenturyGothic-Bold"/>
          <w:sz w:val="24"/>
          <w:szCs w:val="24"/>
        </w:rPr>
        <w:t>C</w:t>
      </w:r>
      <w:r w:rsidRPr="00E15B44">
        <w:rPr>
          <w:rFonts w:ascii="Century Gothic" w:hAnsi="Century Gothic" w:cs="CenturyGothic-Bold"/>
          <w:sz w:val="24"/>
          <w:szCs w:val="24"/>
        </w:rPr>
        <w:t xml:space="preserve">onvenzione ha validità dalla data di sottoscrizione per il periodo di realizzazione di 12 mesi, ai quali si aggiunge il termine fissato da Regione </w:t>
      </w:r>
      <w:r w:rsidRPr="00E15B44">
        <w:rPr>
          <w:rFonts w:ascii="Century Gothic" w:hAnsi="Century Gothic" w:cs="CenturyGothic-Bold"/>
          <w:sz w:val="24"/>
          <w:szCs w:val="24"/>
        </w:rPr>
        <w:lastRenderedPageBreak/>
        <w:t>Lombardia per la rendicontazione dell’esito finale e la liquidazione a saldo da parte dell’ATS a seguito di</w:t>
      </w:r>
      <w:r w:rsidR="00E15B44" w:rsidRPr="00E15B44">
        <w:rPr>
          <w:rFonts w:ascii="Century Gothic" w:hAnsi="Century Gothic" w:cs="CenturyGothic-Bold"/>
          <w:sz w:val="24"/>
          <w:szCs w:val="24"/>
        </w:rPr>
        <w:t xml:space="preserve"> </w:t>
      </w:r>
      <w:r w:rsidR="00E15B44" w:rsidRPr="00E15B44">
        <w:rPr>
          <w:rFonts w:ascii="Century Gothic" w:hAnsi="Century Gothic"/>
          <w:sz w:val="24"/>
          <w:szCs w:val="24"/>
        </w:rPr>
        <w:t>approvazione della relazione e rendicontazione finale</w:t>
      </w:r>
      <w:r w:rsidR="00E15B44">
        <w:rPr>
          <w:rFonts w:ascii="Century Gothic" w:hAnsi="Century Gothic"/>
          <w:sz w:val="24"/>
          <w:szCs w:val="24"/>
        </w:rPr>
        <w:t>.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4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OBBLIGHI, RESPONSABILITÀ E COMPITI DELL’</w:t>
      </w:r>
      <w:r w:rsidR="00261D21" w:rsidRPr="00E15B44">
        <w:rPr>
          <w:rFonts w:ascii="Century Gothic" w:hAnsi="Century Gothic" w:cs="CenturyGothic-Bold"/>
          <w:b/>
          <w:bCs/>
          <w:sz w:val="24"/>
          <w:szCs w:val="24"/>
        </w:rPr>
        <w:t>ATS</w:t>
      </w:r>
    </w:p>
    <w:p w:rsidR="00046F94" w:rsidRPr="00E15B44" w:rsidRDefault="00261D21" w:rsidP="00E15B44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L’ATS </w:t>
      </w:r>
      <w:r w:rsidR="00952D04">
        <w:rPr>
          <w:rFonts w:ascii="Century Gothic" w:hAnsi="Century Gothic" w:cs="CenturyGothic"/>
          <w:sz w:val="24"/>
          <w:szCs w:val="24"/>
        </w:rPr>
        <w:t>della Brianza</w:t>
      </w:r>
      <w:r w:rsidRPr="00E15B44">
        <w:rPr>
          <w:rFonts w:ascii="Century Gothic" w:hAnsi="Century Gothic" w:cs="CenturyGothic"/>
          <w:sz w:val="24"/>
          <w:szCs w:val="24"/>
        </w:rPr>
        <w:t xml:space="preserve"> in attuazione della presente Convenzione  si impegna a: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Assumere la regia del percorso di attuazione da parte degli Ambiti, attraverso il presidio e il coordinamento della Cabina di Regia e il Tavolo di Sistema;</w:t>
      </w:r>
    </w:p>
    <w:p w:rsidR="00261D21" w:rsidRPr="00217090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Assicura</w:t>
      </w:r>
      <w:r w:rsidR="00E15B4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la partecipazione alla realizzazione del modello d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parte d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el Dipartimento DIPS, del Dipartimento PIPSS e della UOC 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che cur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il raccordo con il sistema sociale per l’ATS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Garanti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raccordo con gli strumenti di programmazione in ambito sociale e sanitario (Piano Sanitario della Prevenzione, Piani Locali GAP; Piani di Zona) e l’integrazione sociale e sanitaria, anche con le ASST;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Rappresenta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punto di raccordo con la programmazione regionale</w:t>
      </w:r>
      <w:r w:rsidR="00C76102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impegnandosi a comunicare tempestivamente a Regione Lombardia eventuali problematiche riferite all’attuazione della presente convenzione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all’Assemblea dei partner, presieduta e coordinata dall’Ambito Capofila; 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ai Tavoli Tecnici, secondo le specificità dei temi trattati;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Istitui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re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e coordina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Tavolo di Monitoraggio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con la collaborazione del</w:t>
      </w:r>
      <w:r w:rsidR="005D0CF5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l’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Ambito 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Capofila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Paragrafoelenco"/>
        <w:widowControl/>
        <w:numPr>
          <w:ilvl w:val="0"/>
          <w:numId w:val="2"/>
        </w:numPr>
        <w:autoSpaceDE/>
        <w:autoSpaceDN/>
        <w:spacing w:after="60" w:line="252" w:lineRule="auto"/>
        <w:ind w:left="426" w:right="0" w:hanging="284"/>
        <w:contextualSpacing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Partecipa</w:t>
      </w:r>
      <w:r w:rsidR="00E15B44">
        <w:rPr>
          <w:rFonts w:eastAsiaTheme="minorHAnsi" w:cs="CenturyGothic"/>
          <w:sz w:val="24"/>
          <w:szCs w:val="24"/>
          <w:lang w:eastAsia="en-US" w:bidi="ar-SA"/>
        </w:rPr>
        <w:t>re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ai momenti di confronto e di lavoro organizzati da Regione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rispetto al debito informativo definito da Regione </w:t>
      </w:r>
    </w:p>
    <w:p w:rsidR="00261D21" w:rsidRPr="00E15B44" w:rsidRDefault="00261D21" w:rsidP="00E15B44">
      <w:pPr>
        <w:pStyle w:val="TableParagraph"/>
        <w:widowControl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per la realizzazione del programma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, 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anche attraverso la figura di un tutor con funzioni di accompagnamento 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agli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Ambiti nelle diverse fasi realizzative, 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facilitazione della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collaborazione tra Ambiti, ATS, ASST, Uffici Scolastici e altri soggetti istituzionali coinvolti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per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la realizzazione di azioni integrate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; garantire una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pubblicizzazione coordinata di iniziative di formazione e informazione realizzate nei territori;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promuovere 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la diffusione e lo scambio di informazioni e materiali utili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(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la parte in corsivo è opzionale -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l’individuazione di un  tutor è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previsto dall’Allegato A) alla DGR N. XI/2609/2010 come facoltativo)</w:t>
      </w:r>
    </w:p>
    <w:p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Verifica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gli esiti 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le rendicontazioni intermedia e finale, sia con riferimento al raggiungimento degli obiettivi, sia all’ammissibilità della spesa; </w:t>
      </w:r>
    </w:p>
    <w:p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Trasferi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le risorse, secondo le modalità indicate nella DGR</w:t>
      </w:r>
      <w:r w:rsidR="00D1308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N.XI/2609/2019 all’Ente capofila;</w:t>
      </w:r>
    </w:p>
    <w:p w:rsidR="003E5BBC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Risponde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 debito informativo nei confronti di Regione Lombardia.</w:t>
      </w:r>
    </w:p>
    <w:p w:rsidR="004E64E2" w:rsidRPr="00E15B44" w:rsidRDefault="004E64E2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5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OBBLIGHI, RESPONSABILITÀ E COMPITI DELL’ENTE</w:t>
      </w:r>
    </w:p>
    <w:p w:rsidR="004E64E2" w:rsidRPr="00E15B44" w:rsidRDefault="004E64E2" w:rsidP="004D4011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L’Ente  ____________________________ in attuazione della presente Convenzione  si impegna a: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Presiedere e coordinare l’Assemblea dei Partner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i raccordi con l’Assemblea dei Sindaci e la Conferenza dei Sindaci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Organizza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e coordina, a seconda delle tematiche, i Tavoli Tecnici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Realizza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azioni di contrasto al GAP, anche a valenza preventiva, secondo il modello organizzativo e di governance individuato da Regione Lombardia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Sistema coordinato dalle ATS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Monitoraggio, collaborando con l’A</w:t>
      </w:r>
      <w:r w:rsidR="00D13084">
        <w:rPr>
          <w:sz w:val="24"/>
          <w:szCs w:val="24"/>
        </w:rPr>
        <w:t>T</w:t>
      </w:r>
      <w:r w:rsidR="00535DFA">
        <w:rPr>
          <w:sz w:val="24"/>
          <w:szCs w:val="24"/>
        </w:rPr>
        <w:t>S</w:t>
      </w:r>
      <w:r w:rsidRPr="00E15B44">
        <w:rPr>
          <w:sz w:val="24"/>
          <w:szCs w:val="24"/>
        </w:rPr>
        <w:t xml:space="preserve"> per il suo coordinamento </w:t>
      </w:r>
    </w:p>
    <w:p w:rsidR="004E64E2" w:rsidRPr="00473E7B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0" w:name="_Hlk27341583"/>
      <w:r w:rsidRPr="00473E7B">
        <w:rPr>
          <w:sz w:val="24"/>
          <w:szCs w:val="24"/>
        </w:rPr>
        <w:t>Assicura</w:t>
      </w:r>
      <w:r w:rsidR="00E15B44" w:rsidRPr="00473E7B">
        <w:rPr>
          <w:sz w:val="24"/>
          <w:szCs w:val="24"/>
        </w:rPr>
        <w:t>re</w:t>
      </w:r>
      <w:r w:rsidRPr="00473E7B">
        <w:rPr>
          <w:sz w:val="24"/>
          <w:szCs w:val="24"/>
        </w:rPr>
        <w:t xml:space="preserve"> il coinvolgimento </w:t>
      </w:r>
      <w:r w:rsidR="00B548C2" w:rsidRPr="00473E7B">
        <w:rPr>
          <w:sz w:val="24"/>
          <w:szCs w:val="24"/>
        </w:rPr>
        <w:t>delle diverse articolazioni de</w:t>
      </w:r>
      <w:r w:rsidR="00473E7B">
        <w:rPr>
          <w:sz w:val="24"/>
          <w:szCs w:val="24"/>
        </w:rPr>
        <w:t>i</w:t>
      </w:r>
      <w:r w:rsidR="00B548C2" w:rsidRPr="00473E7B">
        <w:rPr>
          <w:sz w:val="24"/>
          <w:szCs w:val="24"/>
        </w:rPr>
        <w:t xml:space="preserve"> Comuni coinvolti, c</w:t>
      </w:r>
      <w:r w:rsidR="00473E7B">
        <w:rPr>
          <w:sz w:val="24"/>
          <w:szCs w:val="24"/>
        </w:rPr>
        <w:t xml:space="preserve">he svolgono </w:t>
      </w:r>
      <w:r w:rsidR="00B548C2" w:rsidRPr="00473E7B">
        <w:rPr>
          <w:sz w:val="24"/>
          <w:szCs w:val="24"/>
        </w:rPr>
        <w:t xml:space="preserve">funzioni relative anche al gioco d’azzardo, in particolare </w:t>
      </w:r>
      <w:r w:rsidRPr="00473E7B">
        <w:rPr>
          <w:sz w:val="24"/>
          <w:szCs w:val="24"/>
        </w:rPr>
        <w:t>servizi sociali, SUAP e Polizia Locale</w:t>
      </w:r>
    </w:p>
    <w:bookmarkEnd w:id="0"/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 xml:space="preserve">re </w:t>
      </w:r>
      <w:r w:rsidRPr="00E15B44">
        <w:rPr>
          <w:sz w:val="24"/>
          <w:szCs w:val="24"/>
        </w:rPr>
        <w:t>il coinvolgimento delle scuole, con particolare attenzione alla Rete delle Scuole che Promuovono salute, agli Ambiti Territoriali Scolastici e agli Uffici Scolastici Provinciali, tenendo conto del livello di integrazione con altre azioni orientate alla promozione degli stili di vita e alle life skills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Coinvolg</w:t>
      </w:r>
      <w:r w:rsidR="00DC19CD" w:rsidRPr="00E15B44">
        <w:rPr>
          <w:sz w:val="24"/>
          <w:szCs w:val="24"/>
        </w:rPr>
        <w:t>e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>, nel processo di programmazione, attuazione e valutazione, i soggetti rappresentativi del territorio (volontariato, associazionismo, terzo settore in generale…)</w:t>
      </w:r>
      <w:r w:rsidR="00DC19CD" w:rsidRPr="00E15B44">
        <w:rPr>
          <w:sz w:val="24"/>
          <w:szCs w:val="24"/>
        </w:rPr>
        <w:t xml:space="preserve">, </w:t>
      </w:r>
      <w:r w:rsidRPr="00E15B44">
        <w:rPr>
          <w:sz w:val="24"/>
          <w:szCs w:val="24"/>
        </w:rPr>
        <w:t>prevede</w:t>
      </w:r>
      <w:r w:rsidR="00DC19CD" w:rsidRPr="00E15B44">
        <w:rPr>
          <w:sz w:val="24"/>
          <w:szCs w:val="24"/>
        </w:rPr>
        <w:t>ndo</w:t>
      </w:r>
      <w:r w:rsidRPr="00E15B44">
        <w:rPr>
          <w:sz w:val="24"/>
          <w:szCs w:val="24"/>
        </w:rPr>
        <w:t xml:space="preserve"> anche modalità di ingaggio dei gestori dei locali, al fine di assicurare un aumento della loro consapevolezza in merito alla distinzione tra “gioco” e “gioco patologico” e a una collaborazione rispetto ad azioni di prevenzione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Persegu</w:t>
      </w:r>
      <w:r w:rsidR="00E15B44">
        <w:rPr>
          <w:sz w:val="24"/>
          <w:szCs w:val="24"/>
        </w:rPr>
        <w:t>ire</w:t>
      </w:r>
      <w:r w:rsidRPr="00E15B44">
        <w:rPr>
          <w:sz w:val="24"/>
          <w:szCs w:val="24"/>
        </w:rPr>
        <w:t>, in raccordo e collaborazione con le ATS, l’integrazione e la sinergia tra interventi sociali, sociosanitari e sanitari</w:t>
      </w:r>
    </w:p>
    <w:p w:rsidR="000953B3" w:rsidRPr="00E15B44" w:rsidRDefault="000953B3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1" w:name="_Hlk27345060"/>
      <w:r w:rsidRPr="00E15B44">
        <w:rPr>
          <w:sz w:val="24"/>
          <w:szCs w:val="24"/>
        </w:rPr>
        <w:t>Assicura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la raccolta dei dati per la misurazione dei risultati e degli indicatori definiti dalla DGR 2609/2019, oltre a quelli specifici che potranno essere individuati dal Tavolo di Monitoraggio</w:t>
      </w:r>
    </w:p>
    <w:bookmarkEnd w:id="1"/>
    <w:p w:rsidR="0014458E" w:rsidRPr="00E15B44" w:rsidRDefault="001F23AC" w:rsidP="004D4011">
      <w:pPr>
        <w:pStyle w:val="Paragrafoelenco"/>
        <w:numPr>
          <w:ilvl w:val="0"/>
          <w:numId w:val="4"/>
        </w:numPr>
        <w:adjustRightInd w:val="0"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Rispetta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tipologie di spesa definite come ammissibili dalla DGR N.XI/2609/2019 e il preventivo del piano dei costi approvato, impegnandosi a comunicare tempestivamente variazioni di budget all’ATS</w:t>
      </w:r>
      <w:r w:rsidR="00C76102" w:rsidRPr="00E15B44">
        <w:rPr>
          <w:sz w:val="24"/>
          <w:szCs w:val="24"/>
        </w:rPr>
        <w:t>; variazioni che determinano uno scostamento superiore al 10% sono soggette a validazione in sede di Assemblea dei partner e ad approvazione da parte dell’ATS, sentita Regione Lombardia</w:t>
      </w:r>
    </w:p>
    <w:p w:rsidR="00776459" w:rsidRPr="00E15B44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D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 xml:space="preserve">ocumentare i costi sostenuti e a seguire, nei pagamenti effettuati, la normativa sulla tracciabilità dei flussi economici </w:t>
      </w:r>
    </w:p>
    <w:p w:rsidR="00776459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R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endersi garante del rispetto delle condizioni di spesa anche da parte dei partner.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6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R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ETE PER L’ATTUAZIONE DEL PROGRAMMA</w:t>
      </w:r>
    </w:p>
    <w:p w:rsidR="002679C1" w:rsidRPr="00E15B44" w:rsidRDefault="00856F1E" w:rsidP="00E15B44">
      <w:pPr>
        <w:tabs>
          <w:tab w:val="left" w:pos="9356"/>
        </w:tabs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</w:t>
      </w:r>
      <w:r w:rsidR="00776459" w:rsidRPr="00E15B44">
        <w:rPr>
          <w:rFonts w:ascii="Century Gothic" w:hAnsi="Century Gothic" w:cs="CenturyGothic"/>
          <w:sz w:val="24"/>
          <w:szCs w:val="24"/>
        </w:rPr>
        <w:t xml:space="preserve">a rete </w:t>
      </w:r>
      <w:r w:rsidR="002679C1" w:rsidRPr="00E15B44">
        <w:rPr>
          <w:rFonts w:ascii="Century Gothic" w:hAnsi="Century Gothic" w:cs="CenturyGothic"/>
          <w:sz w:val="24"/>
          <w:szCs w:val="24"/>
        </w:rPr>
        <w:t>è individuata nella proposta di progetto approvata, Allegata e parte integrante alla presente convenzione</w:t>
      </w:r>
    </w:p>
    <w:p w:rsidR="003016FB" w:rsidRPr="00E15B44" w:rsidRDefault="002679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ARTICOLO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7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6B6A28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- </w:t>
      </w:r>
      <w:r w:rsidR="003016FB" w:rsidRPr="00E15B44">
        <w:rPr>
          <w:rFonts w:ascii="Century Gothic" w:hAnsi="Century Gothic" w:cs="CenturyGothic-Bold"/>
          <w:b/>
          <w:bCs/>
          <w:sz w:val="24"/>
          <w:szCs w:val="24"/>
        </w:rPr>
        <w:t>RESPONSABILI DELL’ATTUAZIONE DELLA CONVENZIONE</w:t>
      </w:r>
    </w:p>
    <w:p w:rsidR="003016FB" w:rsidRPr="00E15B44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L’ATS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2B0D2D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>____</w:t>
      </w:r>
      <w:r w:rsidR="002B0D2D" w:rsidRPr="002B0D2D">
        <w:rPr>
          <w:rFonts w:ascii="Century Gothic" w:hAnsi="Century Gothic" w:cs="CenturyGothic"/>
          <w:i/>
          <w:sz w:val="24"/>
          <w:szCs w:val="24"/>
        </w:rPr>
        <w:t>da indicare successivamente</w:t>
      </w:r>
      <w:r w:rsidRPr="002B0D2D">
        <w:rPr>
          <w:rFonts w:ascii="Century Gothic" w:hAnsi="Century Gothic" w:cs="CenturyGothic"/>
          <w:sz w:val="24"/>
          <w:szCs w:val="24"/>
        </w:rPr>
        <w:t>___________ cui</w:t>
      </w:r>
      <w:r w:rsidRPr="00E15B44">
        <w:rPr>
          <w:rFonts w:ascii="Century Gothic" w:hAnsi="Century Gothic" w:cs="CenturyGothic"/>
          <w:sz w:val="24"/>
          <w:szCs w:val="24"/>
        </w:rPr>
        <w:t xml:space="preserve"> l’Ente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:rsidR="003016FB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L’Ente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E15B44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</w:t>
      </w:r>
      <w:r w:rsidR="002B0D2D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="002B0D2D" w:rsidRPr="002B0D2D">
        <w:rPr>
          <w:rFonts w:ascii="Century Gothic" w:hAnsi="Century Gothic" w:cs="CenturyGothic"/>
          <w:i/>
          <w:sz w:val="24"/>
          <w:szCs w:val="24"/>
        </w:rPr>
        <w:t>da indicare successivamente</w:t>
      </w:r>
      <w:r w:rsidR="002B0D2D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_________________ cui l’ATS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:rsidR="002B0D2D" w:rsidRDefault="002B0D2D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:rsidR="006B6A28" w:rsidRPr="00E15B44" w:rsidRDefault="006B6A28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ARTICOLO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8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COSTI E MODALITÀ DI EROGAZIONE</w:t>
      </w:r>
      <w:r w:rsidR="005D0CF5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DELLE RISORSE</w:t>
      </w:r>
    </w:p>
    <w:p w:rsidR="006B6A28" w:rsidRPr="00E15B44" w:rsidRDefault="006B6A28" w:rsidP="00E15B44">
      <w:pPr>
        <w:pStyle w:val="Corpodeltesto"/>
        <w:tabs>
          <w:tab w:val="left" w:pos="3801"/>
          <w:tab w:val="left" w:pos="9498"/>
        </w:tabs>
        <w:spacing w:after="120" w:line="252" w:lineRule="auto"/>
        <w:jc w:val="both"/>
      </w:pPr>
      <w:r w:rsidRPr="00E15B44">
        <w:t xml:space="preserve">L’attuazione del programma e dei relativi interventi ha un costo complessivo di </w:t>
      </w:r>
      <w:r w:rsidR="002B0D2D">
        <w:t xml:space="preserve">€ </w:t>
      </w:r>
      <w:r w:rsidR="002B0D2D" w:rsidRPr="002B0D2D">
        <w:t>183.361,96</w:t>
      </w:r>
      <w:r w:rsidR="002B0D2D">
        <w:t>.</w:t>
      </w:r>
      <w:r w:rsidR="002B0D2D" w:rsidRPr="002B0D2D">
        <w:t>=</w:t>
      </w:r>
    </w:p>
    <w:p w:rsidR="006B6A28" w:rsidRPr="00E15B44" w:rsidRDefault="006B6A28" w:rsidP="00E15B44">
      <w:pPr>
        <w:pStyle w:val="Corpodeltesto"/>
        <w:tabs>
          <w:tab w:val="left" w:pos="3801"/>
          <w:tab w:val="left" w:pos="8577"/>
        </w:tabs>
        <w:spacing w:after="120" w:line="252" w:lineRule="auto"/>
        <w:jc w:val="both"/>
      </w:pPr>
      <w:r w:rsidRPr="00E15B44">
        <w:t>All’Ente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, verrà riconosciuto, per </w:t>
      </w:r>
      <w:r w:rsidRPr="00E15B44">
        <w:rPr>
          <w:spacing w:val="3"/>
        </w:rPr>
        <w:t xml:space="preserve">la </w:t>
      </w:r>
      <w:r w:rsidRPr="00E15B44">
        <w:t>realizzazione de</w:t>
      </w:r>
      <w:r w:rsidR="00952D04">
        <w:t>llo stesso, un contributo pari a</w:t>
      </w:r>
      <w:r w:rsidRPr="00E15B44">
        <w:t xml:space="preserve"> </w:t>
      </w:r>
      <w:r w:rsidRPr="002B0D2D">
        <w:t>€</w:t>
      </w:r>
      <w:r w:rsidR="002B0D2D">
        <w:t xml:space="preserve"> </w:t>
      </w:r>
      <w:proofErr w:type="spellStart"/>
      <w:r w:rsidR="002B0D2D">
        <w:t>€</w:t>
      </w:r>
      <w:proofErr w:type="spellEnd"/>
      <w:r w:rsidR="002B0D2D">
        <w:t xml:space="preserve"> </w:t>
      </w:r>
      <w:r w:rsidR="002B0D2D" w:rsidRPr="002B0D2D">
        <w:t>183.361,96</w:t>
      </w:r>
      <w:r w:rsidR="002B0D2D">
        <w:t>.</w:t>
      </w:r>
      <w:r w:rsidR="002B0D2D" w:rsidRPr="002B0D2D">
        <w:t>=</w:t>
      </w:r>
      <w:r w:rsidR="002B0D2D">
        <w:t xml:space="preserve"> </w:t>
      </w:r>
      <w:r w:rsidRPr="00E15B44">
        <w:t xml:space="preserve">a valere sul Fondo Sanitario, assegnato e liquidato da Regione Lombardia all’ATS, con decreto n. </w:t>
      </w:r>
      <w:r w:rsidR="00952D04">
        <w:t>18731</w:t>
      </w:r>
      <w:r w:rsidRPr="00E15B44">
        <w:t xml:space="preserve"> del </w:t>
      </w:r>
      <w:r w:rsidR="00952D04">
        <w:t>19/12/2019</w:t>
      </w:r>
      <w:r w:rsidRPr="00E15B44">
        <w:t>,   in base ai criteri e al riparto approvato dalla DGR N.XI/2609/2019.</w:t>
      </w:r>
    </w:p>
    <w:p w:rsidR="006B6A28" w:rsidRPr="00E15B44" w:rsidRDefault="006B6A28" w:rsidP="00E15B44">
      <w:pPr>
        <w:pStyle w:val="Corpodeltesto"/>
        <w:tabs>
          <w:tab w:val="left" w:pos="7033"/>
        </w:tabs>
        <w:spacing w:before="102" w:after="120" w:line="252" w:lineRule="auto"/>
        <w:jc w:val="both"/>
      </w:pPr>
      <w:r w:rsidRPr="00E15B44">
        <w:t>La somma di cui sopra verrà</w:t>
      </w:r>
      <w:r w:rsidRPr="00E15B44">
        <w:rPr>
          <w:spacing w:val="-36"/>
        </w:rPr>
        <w:t xml:space="preserve"> </w:t>
      </w:r>
      <w:r w:rsidRPr="00E15B44">
        <w:t xml:space="preserve">erogata dall’ATS </w:t>
      </w:r>
      <w:r w:rsidRPr="00E15B44">
        <w:rPr>
          <w:spacing w:val="-7"/>
        </w:rPr>
        <w:t xml:space="preserve"> </w:t>
      </w:r>
      <w:r w:rsidRPr="00E15B44">
        <w:t>all’Ente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rPr>
          <w:b/>
          <w:bCs/>
          <w:u w:val="single"/>
        </w:rPr>
        <w:t xml:space="preserve">_______ </w:t>
      </w:r>
      <w:r w:rsidRPr="00E15B44">
        <w:t xml:space="preserve">mediante </w:t>
      </w:r>
      <w:r w:rsidRPr="00E15B44">
        <w:rPr>
          <w:spacing w:val="-3"/>
        </w:rPr>
        <w:t xml:space="preserve">successivi </w:t>
      </w:r>
      <w:r w:rsidRPr="00E15B44">
        <w:t>atti, secondo i</w:t>
      </w:r>
      <w:r w:rsidRPr="00E15B44">
        <w:rPr>
          <w:spacing w:val="4"/>
        </w:rPr>
        <w:t xml:space="preserve"> </w:t>
      </w:r>
      <w:r w:rsidRPr="00E15B44">
        <w:t>termini e le</w:t>
      </w:r>
      <w:r w:rsidR="00481D20" w:rsidRPr="00E15B44">
        <w:t xml:space="preserve"> </w:t>
      </w:r>
      <w:r w:rsidRPr="00E15B44">
        <w:t>modalità</w:t>
      </w:r>
      <w:r w:rsidR="00481D20" w:rsidRPr="00E15B44">
        <w:t xml:space="preserve"> </w:t>
      </w:r>
      <w:r w:rsidRPr="00E15B44">
        <w:t xml:space="preserve"> previste dalla DGR .N/XI/2609/2019:</w:t>
      </w:r>
    </w:p>
    <w:p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70% a seguito di sottoscrizione della convenzione operativa</w:t>
      </w:r>
    </w:p>
    <w:p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30% a conclusione del progetto e approvazione della relazione e rendicontazione finale</w:t>
      </w:r>
    </w:p>
    <w:p w:rsidR="005D0CF5" w:rsidRDefault="004D4011" w:rsidP="00E15B44">
      <w:pPr>
        <w:adjustRightInd w:val="0"/>
        <w:spacing w:after="120" w:line="252" w:lineRule="auto"/>
        <w:jc w:val="both"/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Se pertinente: 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>L’Ente garantisce il cofinanziamento pari a</w:t>
      </w: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euro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______, con risorse proprie e dei soggetti coinvolti nella rete 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7 – VERIFICHE PERIODICHE E CONTROLLI</w:t>
      </w:r>
    </w:p>
    <w:p w:rsidR="00535DFA" w:rsidRDefault="00481D20" w:rsidP="00535DFA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535DFA">
        <w:rPr>
          <w:rFonts w:ascii="Century Gothic" w:hAnsi="Century Gothic" w:cs="CenturyGothic"/>
          <w:sz w:val="24"/>
          <w:szCs w:val="24"/>
        </w:rPr>
        <w:t>Il Tavolo di monitoraggio, istituto dall’ATS</w:t>
      </w:r>
      <w:r w:rsidR="00DD28FF">
        <w:rPr>
          <w:rFonts w:ascii="Century Gothic" w:hAnsi="Century Gothic" w:cs="CenturyGothic"/>
          <w:sz w:val="24"/>
          <w:szCs w:val="24"/>
        </w:rPr>
        <w:t xml:space="preserve"> </w:t>
      </w:r>
      <w:r w:rsidRPr="00535DFA">
        <w:rPr>
          <w:rFonts w:ascii="Century Gothic" w:hAnsi="Century Gothic" w:cs="CenturyGothic"/>
          <w:sz w:val="24"/>
          <w:szCs w:val="24"/>
        </w:rPr>
        <w:t>e coordinato con la collaborazione dell’Ente,</w:t>
      </w:r>
      <w:r w:rsidR="005D0CF5" w:rsidRPr="00535DFA">
        <w:rPr>
          <w:rFonts w:ascii="Century Gothic" w:hAnsi="Century Gothic" w:cs="CenturyGothic"/>
          <w:sz w:val="24"/>
          <w:szCs w:val="24"/>
        </w:rPr>
        <w:t xml:space="preserve"> a cui viene assicurata la presenza </w:t>
      </w:r>
      <w:r w:rsidR="000953B3" w:rsidRPr="00535DFA">
        <w:rPr>
          <w:rFonts w:ascii="Century Gothic" w:hAnsi="Century Gothic" w:cs="CenturyGothic"/>
          <w:sz w:val="24"/>
          <w:szCs w:val="24"/>
        </w:rPr>
        <w:t>coinvolge i soggetti che partecipano al Tavolo di Sistema</w:t>
      </w:r>
      <w:bookmarkStart w:id="2" w:name="_Hlk25942035"/>
      <w:r w:rsidR="000953B3" w:rsidRPr="00535DFA">
        <w:rPr>
          <w:rFonts w:ascii="Century Gothic" w:hAnsi="Century Gothic" w:cs="CenturyGothic"/>
          <w:sz w:val="24"/>
          <w:szCs w:val="24"/>
        </w:rPr>
        <w:t xml:space="preserve">, rappresenta il momento stabile per il monitoraggio e la verifica dell’attuazione del modello di governance e delle azioni previste </w:t>
      </w:r>
      <w:bookmarkEnd w:id="2"/>
      <w:r w:rsidR="000953B3" w:rsidRPr="00535DFA">
        <w:rPr>
          <w:rFonts w:ascii="Century Gothic" w:hAnsi="Century Gothic" w:cs="CenturyGothic"/>
          <w:sz w:val="24"/>
          <w:szCs w:val="24"/>
        </w:rPr>
        <w:t>dalla programmazione</w:t>
      </w:r>
      <w:r w:rsidR="00473E7B" w:rsidRPr="00535DFA">
        <w:rPr>
          <w:rFonts w:ascii="Century Gothic" w:hAnsi="Century Gothic" w:cs="CenturyGothic"/>
          <w:sz w:val="24"/>
          <w:szCs w:val="24"/>
        </w:rPr>
        <w:t xml:space="preserve">, </w:t>
      </w:r>
      <w:r w:rsidR="00535DFA" w:rsidRPr="00535DFA">
        <w:rPr>
          <w:rFonts w:ascii="Century Gothic" w:hAnsi="Century Gothic" w:cs="CenturyGothic"/>
          <w:sz w:val="24"/>
          <w:szCs w:val="24"/>
        </w:rPr>
        <w:t xml:space="preserve"> nonché di supporto alla programmazione stessa , anche ai fini di una eventuale rimodulazione delle azioni.  </w:t>
      </w:r>
    </w:p>
    <w:p w:rsidR="00856F1E" w:rsidRPr="00E15B44" w:rsidRDefault="00856F1E" w:rsidP="00535DFA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8 – TRATTAMENTO DATI PERSONALI</w:t>
      </w:r>
    </w:p>
    <w:p w:rsidR="00856F1E" w:rsidRDefault="00856F1E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Ai sensi del Reg. UE 2016/679 e del D. Lgs. n. 196/2003 così come modificato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dal D. Lgs 101/18, l’ATS e l’Ente Erogatore qualificato sono responsabili del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trattamento dei dati personali relativi a terzi trattati in esecuzione della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presente convenzione. Nel trattamento dei dati, compresi quelli relativi ai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contraenti, le parti si impegnano ad ottemperare agli obblighi previsti dal Reg.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UE 2016/679 e dal D. Lgs. n. 196/2003 così come modificato dal D. Lgs 101/18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e a tutte le altre disposizioni vigenti in materia di protezione dei dati personali.</w:t>
      </w:r>
    </w:p>
    <w:p w:rsidR="00755291" w:rsidRPr="00E15B44" w:rsidRDefault="00755291" w:rsidP="00E15B44">
      <w:pPr>
        <w:pStyle w:val="Titolo1"/>
        <w:spacing w:before="99" w:after="120" w:line="252" w:lineRule="auto"/>
        <w:ind w:left="0"/>
        <w:jc w:val="left"/>
        <w:rPr>
          <w:rFonts w:eastAsiaTheme="minorHAnsi" w:cs="CenturyGothic-Bold"/>
          <w:sz w:val="24"/>
          <w:szCs w:val="24"/>
          <w:lang w:eastAsia="en-US" w:bidi="ar-SA"/>
        </w:rPr>
      </w:pPr>
      <w:bookmarkStart w:id="3" w:name="_GoBack"/>
      <w:bookmarkEnd w:id="3"/>
      <w:r w:rsidRPr="00E15B44">
        <w:rPr>
          <w:rFonts w:eastAsiaTheme="minorHAnsi" w:cs="CenturyGothic-Bold"/>
          <w:sz w:val="24"/>
          <w:szCs w:val="24"/>
          <w:lang w:eastAsia="en-US" w:bidi="ar-SA"/>
        </w:rPr>
        <w:t>ART. 9- PUBBLICAZIONI, MATERIALI DI COMUNICAZIONE  E LOGHI</w:t>
      </w:r>
    </w:p>
    <w:p w:rsidR="00755291" w:rsidRPr="00E15B44" w:rsidRDefault="00755291" w:rsidP="00E15B44">
      <w:pPr>
        <w:pStyle w:val="Corpodeltesto"/>
        <w:tabs>
          <w:tab w:val="left" w:pos="7679"/>
        </w:tabs>
        <w:spacing w:before="1" w:after="120" w:line="252" w:lineRule="auto"/>
        <w:jc w:val="both"/>
        <w:rPr>
          <w:rFonts w:eastAsiaTheme="minorHAnsi" w:cs="CenturyGothic"/>
          <w:lang w:eastAsia="en-US" w:bidi="ar-SA"/>
        </w:rPr>
      </w:pPr>
      <w:r w:rsidRPr="00E15B44">
        <w:rPr>
          <w:rFonts w:eastAsiaTheme="minorHAnsi" w:cs="CenturyGothic"/>
          <w:lang w:eastAsia="en-US" w:bidi="ar-SA"/>
        </w:rPr>
        <w:t>I risultati dell’attività da svolgere, saranno condivisi tra l’ATS e l’Ente; il loro utilizzo sarà libero, con il solo obbligo di citare, nelle eventuali pubblicazioni che potrebbero derivare, che i risultati esposti sono stati realizzati con il contributo della Direzione Generale Politiche Sociali, Abitative e Disabilità – Giunta Regione Lombardia.</w:t>
      </w:r>
    </w:p>
    <w:p w:rsidR="00755291" w:rsidRPr="00E15B44" w:rsidRDefault="00755291" w:rsidP="00E15B44">
      <w:pPr>
        <w:pStyle w:val="Titolo1"/>
        <w:spacing w:before="99" w:after="120" w:line="252" w:lineRule="auto"/>
        <w:ind w:left="0" w:right="0"/>
        <w:jc w:val="both"/>
        <w:rPr>
          <w:rFonts w:cs="CenturyGothic-Bold"/>
          <w:b w:val="0"/>
          <w:bCs w:val="0"/>
          <w:sz w:val="24"/>
          <w:szCs w:val="24"/>
        </w:rPr>
      </w:pPr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Tutte le iniziative di comunicazione e informazione dovranno riportare, oltre a quello dei realizzatori,  anche il logo regionale, il logo di ATS e il marchio regionale </w:t>
      </w:r>
      <w:proofErr w:type="spellStart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NoSlot</w:t>
      </w:r>
      <w:proofErr w:type="spellEnd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 (DGR 2589/2014) secondo le indicazioni fornite nel documento ”Indicazioni per il corretto utilizzo e rilascio del marchio </w:t>
      </w:r>
      <w:proofErr w:type="spellStart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NoSlot</w:t>
      </w:r>
      <w:proofErr w:type="spellEnd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” (Allegato alla DGR 2589/2014).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755291" w:rsidRPr="00E15B44">
        <w:rPr>
          <w:rFonts w:ascii="Century Gothic" w:hAnsi="Century Gothic" w:cs="CenturyGothic-Bold"/>
          <w:b/>
          <w:bCs/>
          <w:sz w:val="24"/>
          <w:szCs w:val="24"/>
        </w:rPr>
        <w:t>10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RISOLUZIONE DELLA CONVENZIONE</w:t>
      </w:r>
    </w:p>
    <w:p w:rsidR="00755291" w:rsidRPr="00E15B44" w:rsidRDefault="00755291" w:rsidP="00E15B44">
      <w:pPr>
        <w:pStyle w:val="Corpodeltesto"/>
        <w:spacing w:after="120" w:line="252" w:lineRule="auto"/>
        <w:jc w:val="both"/>
      </w:pPr>
      <w:r w:rsidRPr="00E15B44">
        <w:t>Nel caso di inosservanza delle clausole della presente convenzione, la risoluzione della stessa si intende regolata dalle vigenti norme in materia di risoluzione del contratto, prevista dal Codice Civile.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10 - CONTROVERSIE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Per ogni controversia che potesse insorgere nell’ambito dell’esecuzione della</w:t>
      </w:r>
      <w:r w:rsidR="00755291"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 xml:space="preserve"> </w:t>
      </w: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 xml:space="preserve">convenzione è competente il Foro </w:t>
      </w:r>
      <w:r w:rsidR="002B0D2D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di Monza.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11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 xml:space="preserve">REGISTRAZIOONE E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SPESE DI STIPULA DELLA CONVENZIONE</w:t>
      </w:r>
    </w:p>
    <w:p w:rsidR="00755291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La presente convenzione viene registrata solo in caso d’uso</w:t>
      </w:r>
      <w:r w:rsidR="0003054F">
        <w:rPr>
          <w:rFonts w:ascii="Century Gothic" w:hAnsi="Century Gothic" w:cs="CenturyGothic"/>
          <w:sz w:val="24"/>
          <w:szCs w:val="24"/>
        </w:rPr>
        <w:t xml:space="preserve">; non comporta </w:t>
      </w:r>
      <w:r w:rsidR="00DD28FF">
        <w:rPr>
          <w:rFonts w:ascii="Century Gothic" w:hAnsi="Century Gothic" w:cs="CenturyGothic"/>
          <w:sz w:val="24"/>
          <w:szCs w:val="24"/>
        </w:rPr>
        <w:t>spese.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12 – RINVIO ALLA NORMATIVA GENERALE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quanto non previsto dalla presente convenzione si farà riferimento alla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normativa generale e speciale che regola la materia.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Letto confermato e sottoscritto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Per l’ATS </w:t>
      </w:r>
      <w:r w:rsidR="00280747">
        <w:rPr>
          <w:rFonts w:ascii="Century Gothic" w:hAnsi="Century Gothic" w:cs="CenturyGothic"/>
          <w:sz w:val="24"/>
          <w:szCs w:val="24"/>
        </w:rPr>
        <w:t>della Brianza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Il Direttore Generale: </w:t>
      </w:r>
      <w:r w:rsidR="00DD28FF">
        <w:rPr>
          <w:rFonts w:ascii="Century Gothic" w:hAnsi="Century Gothic" w:cs="CenturyGothic"/>
          <w:sz w:val="24"/>
          <w:szCs w:val="24"/>
        </w:rPr>
        <w:t xml:space="preserve">Dott. Silvano </w:t>
      </w:r>
      <w:proofErr w:type="spellStart"/>
      <w:r w:rsidR="00DD28FF">
        <w:rPr>
          <w:rFonts w:ascii="Century Gothic" w:hAnsi="Century Gothic" w:cs="CenturyGothic"/>
          <w:sz w:val="24"/>
          <w:szCs w:val="24"/>
        </w:rPr>
        <w:t>Casazza</w:t>
      </w:r>
      <w:proofErr w:type="spellEnd"/>
      <w:r w:rsidR="00DD28FF">
        <w:rPr>
          <w:rFonts w:ascii="Century Gothic" w:hAnsi="Century Gothic" w:cs="CenturyGothic"/>
          <w:sz w:val="24"/>
          <w:szCs w:val="24"/>
        </w:rPr>
        <w:t xml:space="preserve"> _</w:t>
      </w:r>
      <w:r w:rsidRPr="00E15B44">
        <w:rPr>
          <w:rFonts w:ascii="Century Gothic" w:hAnsi="Century Gothic" w:cs="CenturyGothic"/>
          <w:sz w:val="24"/>
          <w:szCs w:val="24"/>
        </w:rPr>
        <w:t>________________________________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l’Ente _________________________________________________________________</w:t>
      </w:r>
    </w:p>
    <w:p w:rsidR="00D4575C" w:rsidRPr="00E15B44" w:rsidRDefault="00856F1E" w:rsidP="00E15B44">
      <w:pPr>
        <w:spacing w:after="120" w:line="252" w:lineRule="auto"/>
        <w:ind w:right="140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Il Legale Rappresentante: _________________________________________________</w:t>
      </w:r>
    </w:p>
    <w:sectPr w:rsidR="00D4575C" w:rsidRPr="00E15B44" w:rsidSect="00DD28FF">
      <w:footerReference w:type="default" r:id="rId7"/>
      <w:pgSz w:w="11906" w:h="16838"/>
      <w:pgMar w:top="709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09" w:rsidRDefault="006F6A09" w:rsidP="00E15B44">
      <w:pPr>
        <w:spacing w:after="0" w:line="240" w:lineRule="auto"/>
      </w:pPr>
      <w:r>
        <w:separator/>
      </w:r>
    </w:p>
  </w:endnote>
  <w:endnote w:type="continuationSeparator" w:id="0">
    <w:p w:rsidR="006F6A09" w:rsidRDefault="006F6A09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236648"/>
      <w:docPartObj>
        <w:docPartGallery w:val="Page Numbers (Bottom of Page)"/>
        <w:docPartUnique/>
      </w:docPartObj>
    </w:sdtPr>
    <w:sdtContent>
      <w:p w:rsidR="00E15B44" w:rsidRDefault="000A369F">
        <w:pPr>
          <w:pStyle w:val="Pidipagina"/>
          <w:jc w:val="right"/>
        </w:pPr>
        <w:r>
          <w:fldChar w:fldCharType="begin"/>
        </w:r>
        <w:r w:rsidR="00E15B44">
          <w:instrText>PAGE   \* MERGEFORMAT</w:instrText>
        </w:r>
        <w:r>
          <w:fldChar w:fldCharType="separate"/>
        </w:r>
        <w:r w:rsidR="00971DB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09" w:rsidRDefault="006F6A09" w:rsidP="00E15B44">
      <w:pPr>
        <w:spacing w:after="0" w:line="240" w:lineRule="auto"/>
      </w:pPr>
      <w:r>
        <w:separator/>
      </w:r>
    </w:p>
  </w:footnote>
  <w:footnote w:type="continuationSeparator" w:id="0">
    <w:p w:rsidR="006F6A09" w:rsidRDefault="006F6A09" w:rsidP="00E1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422"/>
    <w:multiLevelType w:val="hybridMultilevel"/>
    <w:tmpl w:val="59EE8E5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EEB4F71A">
      <w:numFmt w:val="bullet"/>
      <w:lvlText w:val="-"/>
      <w:lvlJc w:val="left"/>
      <w:pPr>
        <w:ind w:left="1440" w:hanging="360"/>
      </w:pPr>
      <w:rPr>
        <w:rFonts w:ascii="Calibri" w:eastAsia="Century Gothic" w:hAnsi="Calibri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6266"/>
    <w:multiLevelType w:val="hybridMultilevel"/>
    <w:tmpl w:val="5BE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57A5F"/>
    <w:multiLevelType w:val="hybridMultilevel"/>
    <w:tmpl w:val="AAB6B240"/>
    <w:lvl w:ilvl="0" w:tplc="C3A8A698">
      <w:start w:val="1"/>
      <w:numFmt w:val="lowerLetter"/>
      <w:lvlText w:val="%1)"/>
      <w:lvlJc w:val="left"/>
      <w:pPr>
        <w:ind w:left="1644" w:hanging="294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982AEA8C">
      <w:start w:val="1"/>
      <w:numFmt w:val="lowerLetter"/>
      <w:lvlText w:val="%2)"/>
      <w:lvlJc w:val="left"/>
      <w:pPr>
        <w:ind w:left="1743" w:hanging="336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2" w:tplc="7F041BA2">
      <w:numFmt w:val="bullet"/>
      <w:lvlText w:val="•"/>
      <w:lvlJc w:val="left"/>
      <w:pPr>
        <w:ind w:left="2670" w:hanging="336"/>
      </w:pPr>
      <w:rPr>
        <w:rFonts w:hint="default"/>
        <w:lang w:val="it-IT" w:eastAsia="it-IT" w:bidi="it-IT"/>
      </w:rPr>
    </w:lvl>
    <w:lvl w:ilvl="3" w:tplc="5F20C9A0">
      <w:numFmt w:val="bullet"/>
      <w:lvlText w:val="•"/>
      <w:lvlJc w:val="left"/>
      <w:pPr>
        <w:ind w:left="3601" w:hanging="336"/>
      </w:pPr>
      <w:rPr>
        <w:rFonts w:hint="default"/>
        <w:lang w:val="it-IT" w:eastAsia="it-IT" w:bidi="it-IT"/>
      </w:rPr>
    </w:lvl>
    <w:lvl w:ilvl="4" w:tplc="894225A4">
      <w:numFmt w:val="bullet"/>
      <w:lvlText w:val="•"/>
      <w:lvlJc w:val="left"/>
      <w:pPr>
        <w:ind w:left="4532" w:hanging="336"/>
      </w:pPr>
      <w:rPr>
        <w:rFonts w:hint="default"/>
        <w:lang w:val="it-IT" w:eastAsia="it-IT" w:bidi="it-IT"/>
      </w:rPr>
    </w:lvl>
    <w:lvl w:ilvl="5" w:tplc="68503FF2">
      <w:numFmt w:val="bullet"/>
      <w:lvlText w:val="•"/>
      <w:lvlJc w:val="left"/>
      <w:pPr>
        <w:ind w:left="5463" w:hanging="336"/>
      </w:pPr>
      <w:rPr>
        <w:rFonts w:hint="default"/>
        <w:lang w:val="it-IT" w:eastAsia="it-IT" w:bidi="it-IT"/>
      </w:rPr>
    </w:lvl>
    <w:lvl w:ilvl="6" w:tplc="8F0661C2">
      <w:numFmt w:val="bullet"/>
      <w:lvlText w:val="•"/>
      <w:lvlJc w:val="left"/>
      <w:pPr>
        <w:ind w:left="6394" w:hanging="336"/>
      </w:pPr>
      <w:rPr>
        <w:rFonts w:hint="default"/>
        <w:lang w:val="it-IT" w:eastAsia="it-IT" w:bidi="it-IT"/>
      </w:rPr>
    </w:lvl>
    <w:lvl w:ilvl="7" w:tplc="AEBAB396">
      <w:numFmt w:val="bullet"/>
      <w:lvlText w:val="•"/>
      <w:lvlJc w:val="left"/>
      <w:pPr>
        <w:ind w:left="7325" w:hanging="336"/>
      </w:pPr>
      <w:rPr>
        <w:rFonts w:hint="default"/>
        <w:lang w:val="it-IT" w:eastAsia="it-IT" w:bidi="it-IT"/>
      </w:rPr>
    </w:lvl>
    <w:lvl w:ilvl="8" w:tplc="0AAAA0E8">
      <w:numFmt w:val="bullet"/>
      <w:lvlText w:val="•"/>
      <w:lvlJc w:val="left"/>
      <w:pPr>
        <w:ind w:left="8256" w:hanging="336"/>
      </w:pPr>
      <w:rPr>
        <w:rFonts w:hint="default"/>
        <w:lang w:val="it-IT" w:eastAsia="it-IT" w:bidi="it-IT"/>
      </w:rPr>
    </w:lvl>
  </w:abstractNum>
  <w:abstractNum w:abstractNumId="3">
    <w:nsid w:val="562B032B"/>
    <w:multiLevelType w:val="hybridMultilevel"/>
    <w:tmpl w:val="9BF45F6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151C0"/>
    <w:multiLevelType w:val="hybridMultilevel"/>
    <w:tmpl w:val="159A113C"/>
    <w:lvl w:ilvl="0" w:tplc="DDD6FB9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B0D2B7E"/>
    <w:multiLevelType w:val="singleLevel"/>
    <w:tmpl w:val="0E763098"/>
    <w:lvl w:ilvl="0">
      <w:start w:val="1"/>
      <w:numFmt w:val="bullet"/>
      <w:pStyle w:val="Pun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0"/>
      </w:rPr>
    </w:lvl>
  </w:abstractNum>
  <w:abstractNum w:abstractNumId="6">
    <w:nsid w:val="73D741A4"/>
    <w:multiLevelType w:val="hybridMultilevel"/>
    <w:tmpl w:val="FBA8217C"/>
    <w:lvl w:ilvl="0" w:tplc="F7E01272">
      <w:numFmt w:val="bullet"/>
      <w:lvlText w:val="•"/>
      <w:lvlJc w:val="left"/>
      <w:pPr>
        <w:ind w:left="836" w:hanging="360"/>
      </w:pPr>
      <w:rPr>
        <w:rFonts w:ascii="Arial Black" w:eastAsia="Arial Black" w:hAnsi="Arial Black" w:cs="Arial Black" w:hint="default"/>
        <w:w w:val="70"/>
        <w:sz w:val="24"/>
        <w:szCs w:val="24"/>
        <w:lang w:val="it-IT" w:eastAsia="it-IT" w:bidi="it-IT"/>
      </w:rPr>
    </w:lvl>
    <w:lvl w:ilvl="1" w:tplc="107E22F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D32A30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A42D40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C2E2F8C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12F6CD6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8ACA82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DD3CC00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1750C99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5C"/>
    <w:rsid w:val="000179E1"/>
    <w:rsid w:val="0003054F"/>
    <w:rsid w:val="000307C0"/>
    <w:rsid w:val="00046F94"/>
    <w:rsid w:val="00080EC5"/>
    <w:rsid w:val="000953B3"/>
    <w:rsid w:val="000A369F"/>
    <w:rsid w:val="000B24D5"/>
    <w:rsid w:val="000B3AAA"/>
    <w:rsid w:val="001126BC"/>
    <w:rsid w:val="001175B4"/>
    <w:rsid w:val="0014458E"/>
    <w:rsid w:val="0019334A"/>
    <w:rsid w:val="001C1632"/>
    <w:rsid w:val="001F23AC"/>
    <w:rsid w:val="00217090"/>
    <w:rsid w:val="00225CD8"/>
    <w:rsid w:val="00261D21"/>
    <w:rsid w:val="002679C1"/>
    <w:rsid w:val="00280747"/>
    <w:rsid w:val="002B0D2D"/>
    <w:rsid w:val="003016FB"/>
    <w:rsid w:val="003A32BC"/>
    <w:rsid w:val="003E5BBC"/>
    <w:rsid w:val="00473E7B"/>
    <w:rsid w:val="00481D20"/>
    <w:rsid w:val="004D4011"/>
    <w:rsid w:val="004E64E2"/>
    <w:rsid w:val="00535DFA"/>
    <w:rsid w:val="005D0CF5"/>
    <w:rsid w:val="005E39FD"/>
    <w:rsid w:val="006B6A28"/>
    <w:rsid w:val="006C2057"/>
    <w:rsid w:val="006F6A09"/>
    <w:rsid w:val="00701E6B"/>
    <w:rsid w:val="00755291"/>
    <w:rsid w:val="00776459"/>
    <w:rsid w:val="00856F1E"/>
    <w:rsid w:val="00952D04"/>
    <w:rsid w:val="00971DB7"/>
    <w:rsid w:val="009F11C0"/>
    <w:rsid w:val="00AB5EC3"/>
    <w:rsid w:val="00B548C2"/>
    <w:rsid w:val="00B77DC1"/>
    <w:rsid w:val="00B96ACF"/>
    <w:rsid w:val="00C55153"/>
    <w:rsid w:val="00C76102"/>
    <w:rsid w:val="00CF0521"/>
    <w:rsid w:val="00D13084"/>
    <w:rsid w:val="00D3480F"/>
    <w:rsid w:val="00D4575C"/>
    <w:rsid w:val="00DC19CD"/>
    <w:rsid w:val="00DD28FF"/>
    <w:rsid w:val="00DD6387"/>
    <w:rsid w:val="00E15B44"/>
    <w:rsid w:val="00E37E85"/>
    <w:rsid w:val="00E412A7"/>
    <w:rsid w:val="00EF6826"/>
    <w:rsid w:val="00F749A5"/>
    <w:rsid w:val="00F7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4D5"/>
  </w:style>
  <w:style w:type="paragraph" w:styleId="Titolo1">
    <w:name w:val="heading 1"/>
    <w:basedOn w:val="Normale"/>
    <w:link w:val="Titolo1Carattere"/>
    <w:uiPriority w:val="9"/>
    <w:qFormat/>
    <w:rsid w:val="00E37E85"/>
    <w:pPr>
      <w:widowControl w:val="0"/>
      <w:autoSpaceDE w:val="0"/>
      <w:autoSpaceDN w:val="0"/>
      <w:spacing w:after="0" w:line="240" w:lineRule="auto"/>
      <w:ind w:left="3516" w:right="1958"/>
      <w:jc w:val="center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BBC"/>
    <w:pPr>
      <w:widowControl w:val="0"/>
      <w:autoSpaceDE w:val="0"/>
      <w:autoSpaceDN w:val="0"/>
      <w:spacing w:after="0" w:line="240" w:lineRule="auto"/>
      <w:ind w:left="836" w:right="114" w:hanging="360"/>
      <w:jc w:val="both"/>
    </w:pPr>
    <w:rPr>
      <w:rFonts w:ascii="Century Gothic" w:eastAsia="Century Gothic" w:hAnsi="Century Gothic" w:cs="Century Gothic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046F9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46F94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85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61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Punt">
    <w:name w:val="Punt"/>
    <w:basedOn w:val="Normale"/>
    <w:rsid w:val="00776459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B44"/>
  </w:style>
  <w:style w:type="paragraph" w:styleId="Pidipagina">
    <w:name w:val="footer"/>
    <w:basedOn w:val="Normale"/>
    <w:link w:val="Pidipagina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 Colombini</dc:creator>
  <cp:keywords/>
  <dc:description/>
  <cp:lastModifiedBy>giglio</cp:lastModifiedBy>
  <cp:revision>36</cp:revision>
  <dcterms:created xsi:type="dcterms:W3CDTF">2019-11-26T23:01:00Z</dcterms:created>
  <dcterms:modified xsi:type="dcterms:W3CDTF">2020-01-31T09:21:00Z</dcterms:modified>
</cp:coreProperties>
</file>