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FC9" w:rsidRPr="005E27C6" w:rsidRDefault="00113FC9" w:rsidP="00113FC9">
      <w:pPr>
        <w:jc w:val="right"/>
        <w:rPr>
          <w:bCs/>
          <w:color w:val="808080" w:themeColor="background1" w:themeShade="80"/>
          <w:sz w:val="24"/>
          <w:szCs w:val="24"/>
        </w:rPr>
      </w:pPr>
      <w:bookmarkStart w:id="0" w:name="_Hlk25860185"/>
      <w:r w:rsidRPr="00513BAA">
        <w:rPr>
          <w:bCs/>
          <w:color w:val="808080" w:themeColor="background1" w:themeShade="80"/>
          <w:sz w:val="24"/>
          <w:szCs w:val="24"/>
        </w:rPr>
        <w:t>Allegato  1)  alla deliberazione n. ………………     del   …………………………</w:t>
      </w:r>
    </w:p>
    <w:p w:rsidR="005E27C6" w:rsidRDefault="005E27C6" w:rsidP="0014188B">
      <w:pPr>
        <w:pBdr>
          <w:bottom w:val="single" w:sz="6" w:space="1" w:color="auto"/>
        </w:pBdr>
        <w:jc w:val="both"/>
        <w:rPr>
          <w:b/>
          <w:bCs/>
          <w:color w:val="000000"/>
          <w:sz w:val="24"/>
          <w:szCs w:val="24"/>
        </w:rPr>
      </w:pPr>
    </w:p>
    <w:p w:rsidR="00080EC5" w:rsidRDefault="00323F14" w:rsidP="005E27C6">
      <w:pPr>
        <w:pBdr>
          <w:bottom w:val="single" w:sz="6" w:space="1" w:color="auto"/>
        </w:pBdr>
        <w:jc w:val="center"/>
        <w:rPr>
          <w:rFonts w:ascii="Times New Roman" w:hAnsi="Times New Roman" w:cs="Times New Roman"/>
          <w:b/>
          <w:bCs/>
          <w:color w:val="000000"/>
        </w:rPr>
      </w:pPr>
      <w:r w:rsidRPr="005E27C6">
        <w:rPr>
          <w:rFonts w:ascii="Times New Roman" w:hAnsi="Times New Roman" w:cs="Times New Roman"/>
          <w:b/>
          <w:bCs/>
          <w:color w:val="000000"/>
        </w:rPr>
        <w:t>MANIFESTAZIONE DI INTERESSE</w:t>
      </w:r>
      <w:r w:rsidR="005E27C6" w:rsidRPr="005E27C6">
        <w:rPr>
          <w:rFonts w:ascii="Times New Roman" w:hAnsi="Times New Roman" w:cs="Times New Roman"/>
          <w:b/>
          <w:bCs/>
          <w:color w:val="000000"/>
        </w:rPr>
        <w:t xml:space="preserve"> DA PARTE DEGLI AMBITI TERRITORIALI DI </w:t>
      </w:r>
      <w:bookmarkEnd w:id="0"/>
      <w:r w:rsidR="00B65BC7" w:rsidRPr="005E27C6">
        <w:rPr>
          <w:rFonts w:ascii="Times New Roman" w:hAnsi="Times New Roman" w:cs="Times New Roman"/>
          <w:b/>
          <w:bCs/>
          <w:color w:val="000000"/>
        </w:rPr>
        <w:t>ATS</w:t>
      </w:r>
      <w:r w:rsidR="005E27C6" w:rsidRPr="005E27C6">
        <w:rPr>
          <w:rFonts w:ascii="Times New Roman" w:hAnsi="Times New Roman" w:cs="Times New Roman"/>
          <w:b/>
          <w:bCs/>
          <w:color w:val="000000"/>
        </w:rPr>
        <w:t xml:space="preserve"> BRIANZA PER LA PARTECIPAZIONE ALLE AZIONI LOCALI DI SISTEMA NEL CONTESTO DEGLI AMBITI TERRITORIALI IN MATERIA DI PREVENZIONE E CONTRASTO AL GIOCO D’AZZARDO PATOLOGICO (L.R. 21/2013, N. 8) - EX D.G.R. N. XI/2609 DEL 9/12/2019 IN PROSECUZIONE DELLA D.G.R. N. XI/1114 DEL 19/12/2018.</w:t>
      </w:r>
    </w:p>
    <w:tbl>
      <w:tblPr>
        <w:tblStyle w:val="Grigliatabella"/>
        <w:tblW w:w="0" w:type="auto"/>
        <w:tblLook w:val="04A0" w:firstRow="1" w:lastRow="0" w:firstColumn="1" w:lastColumn="0" w:noHBand="0" w:noVBand="1"/>
      </w:tblPr>
      <w:tblGrid>
        <w:gridCol w:w="1959"/>
        <w:gridCol w:w="7669"/>
      </w:tblGrid>
      <w:tr w:rsidR="00014A75" w:rsidRPr="005E27C6" w:rsidTr="005E27C6">
        <w:trPr>
          <w:trHeight w:val="2581"/>
        </w:trPr>
        <w:tc>
          <w:tcPr>
            <w:tcW w:w="1959" w:type="dxa"/>
          </w:tcPr>
          <w:p w:rsidR="00014A75" w:rsidRPr="005E27C6" w:rsidRDefault="00C0314E">
            <w:pPr>
              <w:rPr>
                <w:rFonts w:ascii="Times New Roman" w:hAnsi="Times New Roman" w:cs="Times New Roman"/>
                <w:color w:val="000000"/>
              </w:rPr>
            </w:pPr>
            <w:r>
              <w:rPr>
                <w:rFonts w:ascii="Times New Roman" w:eastAsia="Century Gothic" w:hAnsi="Times New Roman" w:cs="Times New Roman"/>
                <w:lang w:eastAsia="it-IT" w:bidi="it-IT"/>
              </w:rPr>
              <w:t>OGGETTO</w:t>
            </w:r>
          </w:p>
        </w:tc>
        <w:tc>
          <w:tcPr>
            <w:tcW w:w="7669" w:type="dxa"/>
          </w:tcPr>
          <w:p w:rsidR="002342FE" w:rsidRPr="00C0314E" w:rsidRDefault="00C0314E" w:rsidP="00C0314E">
            <w:pPr>
              <w:pStyle w:val="TableParagraph"/>
              <w:spacing w:after="120" w:line="252" w:lineRule="auto"/>
              <w:ind w:left="35" w:right="94"/>
              <w:jc w:val="both"/>
              <w:rPr>
                <w:rFonts w:eastAsia="Century Gothic"/>
              </w:rPr>
            </w:pPr>
            <w:r>
              <w:rPr>
                <w:rFonts w:eastAsia="Century Gothic"/>
              </w:rPr>
              <w:t xml:space="preserve">ATS Brianza intende raccogliere manifestazioni di interesse per proseguire </w:t>
            </w:r>
            <w:r w:rsidR="002342FE" w:rsidRPr="005E27C6">
              <w:rPr>
                <w:rFonts w:eastAsia="Century Gothic"/>
              </w:rPr>
              <w:t>nel percorso avviato con la DGR N.1114/2018</w:t>
            </w:r>
            <w:r w:rsidR="0014188B" w:rsidRPr="005E27C6">
              <w:rPr>
                <w:rFonts w:eastAsia="Century Gothic"/>
              </w:rPr>
              <w:t xml:space="preserve"> ed e</w:t>
            </w:r>
            <w:r w:rsidR="002342FE" w:rsidRPr="005E27C6">
              <w:rPr>
                <w:rFonts w:eastAsia="Century Gothic"/>
              </w:rPr>
              <w:t>stendere un modello organizzativo e di governance</w:t>
            </w:r>
            <w:r w:rsidR="0014188B" w:rsidRPr="005E27C6">
              <w:rPr>
                <w:rFonts w:eastAsia="Century Gothic"/>
              </w:rPr>
              <w:t xml:space="preserve"> </w:t>
            </w:r>
            <w:r w:rsidR="002342FE" w:rsidRPr="005E27C6">
              <w:rPr>
                <w:rFonts w:eastAsia="Century Gothic"/>
              </w:rPr>
              <w:t xml:space="preserve">funzionale ed efficace rispetto all’attuazione di interventi di prevenzione e contrasto alla ludopatia, curando in particolare il raccordo con gli </w:t>
            </w:r>
            <w:r w:rsidR="0014188B" w:rsidRPr="005E27C6">
              <w:rPr>
                <w:rFonts w:eastAsia="Century Gothic"/>
              </w:rPr>
              <w:t>o</w:t>
            </w:r>
            <w:r w:rsidR="002342FE" w:rsidRPr="005E27C6">
              <w:rPr>
                <w:rFonts w:eastAsia="Century Gothic"/>
              </w:rPr>
              <w:t xml:space="preserve">biettivi e le azioni dei Piani Locali GAP ex DGR 585/2018 e </w:t>
            </w:r>
            <w:r w:rsidR="003F44F6" w:rsidRPr="005E27C6">
              <w:rPr>
                <w:rFonts w:eastAsia="Century Gothic"/>
              </w:rPr>
              <w:t>DGR 2597/2019</w:t>
            </w:r>
            <w:r w:rsidR="00C836D4" w:rsidRPr="005E27C6">
              <w:rPr>
                <w:rFonts w:eastAsia="Century Gothic"/>
              </w:rPr>
              <w:t xml:space="preserve">, </w:t>
            </w:r>
            <w:r w:rsidR="002342FE" w:rsidRPr="005E27C6">
              <w:rPr>
                <w:rFonts w:eastAsia="Century Gothic"/>
              </w:rPr>
              <w:t>nonché l’integrazione tra sistema sociale, sociosanitario e sanitario</w:t>
            </w:r>
            <w:r>
              <w:rPr>
                <w:rFonts w:eastAsia="Century Gothic"/>
              </w:rPr>
              <w:t xml:space="preserve">, attraverso </w:t>
            </w:r>
            <w:r w:rsidR="005D7D6C" w:rsidRPr="00C0314E">
              <w:rPr>
                <w:rFonts w:eastAsia="Century Gothic"/>
              </w:rPr>
              <w:t>una logica di coinvolgimento della comunità locale anche per individuare precocemente fattori di rischio e realizzare azioni di sistema che consentano lo sviluppo di fattori protettivi</w:t>
            </w:r>
          </w:p>
        </w:tc>
      </w:tr>
      <w:tr w:rsidR="00014A75" w:rsidRPr="005E27C6" w:rsidTr="005E27C6">
        <w:tc>
          <w:tcPr>
            <w:tcW w:w="1959" w:type="dxa"/>
          </w:tcPr>
          <w:p w:rsidR="00014A75" w:rsidRPr="005E27C6" w:rsidRDefault="00C0314E">
            <w:pPr>
              <w:rPr>
                <w:rFonts w:ascii="Times New Roman" w:hAnsi="Times New Roman" w:cs="Times New Roman"/>
                <w:color w:val="000000"/>
              </w:rPr>
            </w:pPr>
            <w:r>
              <w:rPr>
                <w:rFonts w:ascii="Times New Roman" w:eastAsia="Century Gothic" w:hAnsi="Times New Roman" w:cs="Times New Roman"/>
                <w:lang w:eastAsia="it-IT" w:bidi="it-IT"/>
              </w:rPr>
              <w:t>OBIETTIVI</w:t>
            </w:r>
          </w:p>
        </w:tc>
        <w:tc>
          <w:tcPr>
            <w:tcW w:w="7669" w:type="dxa"/>
          </w:tcPr>
          <w:p w:rsidR="003F44F6" w:rsidRPr="005E27C6" w:rsidRDefault="003F44F6" w:rsidP="000279A6">
            <w:pPr>
              <w:pStyle w:val="Paragrafoelenco"/>
              <w:numPr>
                <w:ilvl w:val="0"/>
                <w:numId w:val="2"/>
              </w:numPr>
              <w:tabs>
                <w:tab w:val="clear" w:pos="720"/>
                <w:tab w:val="num" w:pos="319"/>
              </w:tabs>
              <w:spacing w:after="40" w:line="252" w:lineRule="auto"/>
              <w:ind w:left="318" w:hanging="284"/>
              <w:contextualSpacing w:val="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 xml:space="preserve">consolidare e mettere a sistema il modello organizzativo e di governance sperimentato con la DGR </w:t>
            </w:r>
            <w:r w:rsidR="00B65BC7" w:rsidRPr="005E27C6">
              <w:rPr>
                <w:rFonts w:ascii="Times New Roman" w:eastAsia="Century Gothic" w:hAnsi="Times New Roman" w:cs="Times New Roman"/>
                <w:lang w:eastAsia="it-IT" w:bidi="it-IT"/>
              </w:rPr>
              <w:t xml:space="preserve">N. </w:t>
            </w:r>
            <w:r w:rsidRPr="005E27C6">
              <w:rPr>
                <w:rFonts w:ascii="Times New Roman" w:eastAsia="Century Gothic" w:hAnsi="Times New Roman" w:cs="Times New Roman"/>
                <w:lang w:eastAsia="it-IT" w:bidi="it-IT"/>
              </w:rPr>
              <w:t>1114/2018</w:t>
            </w:r>
          </w:p>
          <w:p w:rsidR="003F44F6" w:rsidRPr="005E27C6" w:rsidRDefault="003F44F6" w:rsidP="000279A6">
            <w:pPr>
              <w:pStyle w:val="Paragrafoelenco"/>
              <w:numPr>
                <w:ilvl w:val="0"/>
                <w:numId w:val="2"/>
              </w:numPr>
              <w:tabs>
                <w:tab w:val="clear" w:pos="720"/>
                <w:tab w:val="num" w:pos="319"/>
              </w:tabs>
              <w:spacing w:after="40"/>
              <w:ind w:left="318" w:hanging="319"/>
              <w:contextualSpacing w:val="0"/>
              <w:jc w:val="both"/>
              <w:rPr>
                <w:rFonts w:ascii="Times New Roman" w:eastAsia="Century Gothic" w:hAnsi="Times New Roman" w:cs="Times New Roman"/>
                <w:lang w:eastAsia="it-IT" w:bidi="it-IT"/>
              </w:rPr>
            </w:pPr>
            <w:bookmarkStart w:id="1" w:name="_Hlk27000113"/>
            <w:r w:rsidRPr="005E27C6">
              <w:rPr>
                <w:rFonts w:ascii="Times New Roman" w:eastAsia="Century Gothic" w:hAnsi="Times New Roman" w:cs="Times New Roman"/>
                <w:lang w:eastAsia="it-IT" w:bidi="it-IT"/>
              </w:rPr>
              <w:t xml:space="preserve">consolidare, a livello di Ambiti associati, le azioni locali già presenti, valorizzando l’esistente e dando continuità alle progettualità e agli interventi in atto; </w:t>
            </w:r>
          </w:p>
          <w:p w:rsidR="003F44F6" w:rsidRPr="005E27C6" w:rsidRDefault="00C46D07" w:rsidP="000279A6">
            <w:pPr>
              <w:pStyle w:val="Paragrafoelenco"/>
              <w:numPr>
                <w:ilvl w:val="0"/>
                <w:numId w:val="2"/>
              </w:numPr>
              <w:tabs>
                <w:tab w:val="clear" w:pos="720"/>
                <w:tab w:val="num" w:pos="319"/>
              </w:tabs>
              <w:spacing w:after="40"/>
              <w:ind w:left="318" w:hanging="284"/>
              <w:contextualSpacing w:val="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d</w:t>
            </w:r>
            <w:r w:rsidR="003F44F6" w:rsidRPr="005E27C6">
              <w:rPr>
                <w:rFonts w:ascii="Times New Roman" w:eastAsia="Century Gothic" w:hAnsi="Times New Roman" w:cs="Times New Roman"/>
                <w:lang w:eastAsia="it-IT" w:bidi="it-IT"/>
              </w:rPr>
              <w:t>iffondere buone prassi, anche con riferimento alle esperienze presenti in ogni ATS in attuazione della DGR N.1114/2018</w:t>
            </w:r>
          </w:p>
          <w:bookmarkEnd w:id="1"/>
          <w:p w:rsidR="003F44F6" w:rsidRPr="005E27C6" w:rsidRDefault="003F44F6" w:rsidP="000279A6">
            <w:pPr>
              <w:pStyle w:val="Paragrafoelenco"/>
              <w:numPr>
                <w:ilvl w:val="0"/>
                <w:numId w:val="2"/>
              </w:numPr>
              <w:tabs>
                <w:tab w:val="clear" w:pos="720"/>
                <w:tab w:val="num" w:pos="319"/>
              </w:tabs>
              <w:spacing w:after="40" w:line="252" w:lineRule="auto"/>
              <w:ind w:left="318" w:hanging="284"/>
              <w:contextualSpacing w:val="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perseguire l’integrazione e il raccordo tra interventi sociali, sociosanitari e sanitari, in particolare con i Piani Locali GAP, assumendo come riferiment</w:t>
            </w:r>
            <w:r w:rsidR="00B65BC7" w:rsidRPr="005E27C6">
              <w:rPr>
                <w:rFonts w:ascii="Times New Roman" w:eastAsia="Century Gothic" w:hAnsi="Times New Roman" w:cs="Times New Roman"/>
                <w:lang w:eastAsia="it-IT" w:bidi="it-IT"/>
              </w:rPr>
              <w:t>i</w:t>
            </w:r>
            <w:r w:rsidRPr="005E27C6">
              <w:rPr>
                <w:rFonts w:ascii="Times New Roman" w:eastAsia="Century Gothic" w:hAnsi="Times New Roman" w:cs="Times New Roman"/>
                <w:lang w:eastAsia="it-IT" w:bidi="it-IT"/>
              </w:rPr>
              <w:t xml:space="preserve"> la DGR 585/2018 e la DGR 2597/2019</w:t>
            </w:r>
          </w:p>
          <w:p w:rsidR="003F44F6" w:rsidRPr="005E27C6" w:rsidRDefault="003F44F6" w:rsidP="000279A6">
            <w:pPr>
              <w:pStyle w:val="Paragrafoelenco"/>
              <w:numPr>
                <w:ilvl w:val="0"/>
                <w:numId w:val="2"/>
              </w:numPr>
              <w:tabs>
                <w:tab w:val="clear" w:pos="720"/>
                <w:tab w:val="num" w:pos="319"/>
              </w:tabs>
              <w:spacing w:after="40" w:line="252" w:lineRule="auto"/>
              <w:ind w:left="318" w:hanging="284"/>
              <w:contextualSpacing w:val="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 xml:space="preserve">rafforzare i percorsi di sostegno e di presa in carico delle persone e </w:t>
            </w:r>
            <w:r w:rsidR="00EC39DC" w:rsidRPr="005E27C6">
              <w:rPr>
                <w:rFonts w:ascii="Times New Roman" w:eastAsia="Century Gothic" w:hAnsi="Times New Roman" w:cs="Times New Roman"/>
                <w:lang w:eastAsia="it-IT" w:bidi="it-IT"/>
              </w:rPr>
              <w:t>de</w:t>
            </w:r>
            <w:r w:rsidRPr="005E27C6">
              <w:rPr>
                <w:rFonts w:ascii="Times New Roman" w:eastAsia="Century Gothic" w:hAnsi="Times New Roman" w:cs="Times New Roman"/>
                <w:lang w:eastAsia="it-IT" w:bidi="it-IT"/>
              </w:rPr>
              <w:t>lle famiglie, anche con il coinvolgimento delle ASST</w:t>
            </w:r>
          </w:p>
          <w:p w:rsidR="003F44F6" w:rsidRPr="005E27C6" w:rsidRDefault="003F44F6" w:rsidP="000279A6">
            <w:pPr>
              <w:pStyle w:val="Paragrafoelenco"/>
              <w:numPr>
                <w:ilvl w:val="0"/>
                <w:numId w:val="2"/>
              </w:numPr>
              <w:tabs>
                <w:tab w:val="clear" w:pos="720"/>
                <w:tab w:val="num" w:pos="319"/>
              </w:tabs>
              <w:spacing w:after="40" w:line="252" w:lineRule="auto"/>
              <w:ind w:left="318" w:hanging="284"/>
              <w:contextualSpacing w:val="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ricondurre al quadro della programmazione locale anche le azioni in ambito scolastico, in evoluzione della Convenzione tra Regione Lombardia e Ufficio Scolastico Regionale, conclusasi   30/11/2019</w:t>
            </w:r>
          </w:p>
          <w:p w:rsidR="005D7D6C" w:rsidRPr="005E27C6" w:rsidRDefault="003F44F6" w:rsidP="000279A6">
            <w:pPr>
              <w:pStyle w:val="TableParagraph"/>
              <w:numPr>
                <w:ilvl w:val="0"/>
                <w:numId w:val="2"/>
              </w:numPr>
              <w:tabs>
                <w:tab w:val="clear" w:pos="720"/>
                <w:tab w:val="num" w:pos="319"/>
              </w:tabs>
              <w:spacing w:after="40"/>
              <w:ind w:left="318" w:right="94" w:hanging="284"/>
              <w:jc w:val="both"/>
              <w:rPr>
                <w:rFonts w:eastAsia="Century Gothic"/>
              </w:rPr>
            </w:pPr>
            <w:r w:rsidRPr="005E27C6">
              <w:rPr>
                <w:rFonts w:eastAsia="Century Gothic"/>
              </w:rPr>
              <w:t xml:space="preserve">strutturare e alimentare una Mappa   territoriale aggiornabile nel tempo, nella quale appaia in modo coordinato ed integrato quale è complessivamente l’offerta destinata in un determinato territorio alla prevenzione e al contrasto del </w:t>
            </w:r>
            <w:r w:rsidR="000279A6" w:rsidRPr="005E27C6">
              <w:rPr>
                <w:rFonts w:eastAsia="Century Gothic"/>
              </w:rPr>
              <w:t>GAP e quale è l’offerta di  gioco d’azzardo lecito.</w:t>
            </w:r>
          </w:p>
        </w:tc>
      </w:tr>
      <w:tr w:rsidR="00014A75" w:rsidRPr="005E27C6" w:rsidTr="005E27C6">
        <w:tc>
          <w:tcPr>
            <w:tcW w:w="1959" w:type="dxa"/>
          </w:tcPr>
          <w:p w:rsidR="00014A75" w:rsidRPr="005E27C6" w:rsidRDefault="00641E7D">
            <w:pPr>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Principali r</w:t>
            </w:r>
            <w:r w:rsidR="00C836D4" w:rsidRPr="005E27C6">
              <w:rPr>
                <w:rFonts w:ascii="Times New Roman" w:eastAsia="Century Gothic" w:hAnsi="Times New Roman" w:cs="Times New Roman"/>
                <w:lang w:eastAsia="it-IT" w:bidi="it-IT"/>
              </w:rPr>
              <w:t xml:space="preserve">iferimenti normativi </w:t>
            </w:r>
            <w:r w:rsidR="00ED7207" w:rsidRPr="005E27C6">
              <w:rPr>
                <w:rFonts w:ascii="Times New Roman" w:eastAsia="Century Gothic" w:hAnsi="Times New Roman" w:cs="Times New Roman"/>
                <w:lang w:eastAsia="it-IT" w:bidi="it-IT"/>
              </w:rPr>
              <w:t xml:space="preserve"> e provvedimentali</w:t>
            </w:r>
          </w:p>
        </w:tc>
        <w:tc>
          <w:tcPr>
            <w:tcW w:w="7669" w:type="dxa"/>
          </w:tcPr>
          <w:p w:rsidR="00014A75" w:rsidRPr="005E27C6" w:rsidRDefault="00ED7207" w:rsidP="00ED7207">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Lr. 8/2013 Norme per la prevenzione e il trattamento del gioco d’azzardo patologico” e s.m.i</w:t>
            </w:r>
          </w:p>
          <w:p w:rsidR="00ED7207" w:rsidRPr="005E27C6" w:rsidRDefault="00ED7207" w:rsidP="00ED7207">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DGR N. XI/7803/2018 “Approvazione della convenzione con l’</w:t>
            </w:r>
            <w:r w:rsidR="000279A6" w:rsidRPr="005E27C6">
              <w:rPr>
                <w:rFonts w:ascii="Times New Roman" w:eastAsia="Century Gothic" w:hAnsi="Times New Roman" w:cs="Times New Roman"/>
                <w:lang w:eastAsia="it-IT" w:bidi="it-IT"/>
              </w:rPr>
              <w:t>U</w:t>
            </w:r>
            <w:r w:rsidRPr="005E27C6">
              <w:rPr>
                <w:rFonts w:ascii="Times New Roman" w:eastAsia="Century Gothic" w:hAnsi="Times New Roman" w:cs="Times New Roman"/>
                <w:lang w:eastAsia="it-IT" w:bidi="it-IT"/>
              </w:rPr>
              <w:t xml:space="preserve">fficio </w:t>
            </w:r>
            <w:r w:rsidR="000279A6" w:rsidRPr="005E27C6">
              <w:rPr>
                <w:rFonts w:ascii="Times New Roman" w:eastAsia="Century Gothic" w:hAnsi="Times New Roman" w:cs="Times New Roman"/>
                <w:lang w:eastAsia="it-IT" w:bidi="it-IT"/>
              </w:rPr>
              <w:t>S</w:t>
            </w:r>
            <w:r w:rsidRPr="005E27C6">
              <w:rPr>
                <w:rFonts w:ascii="Times New Roman" w:eastAsia="Century Gothic" w:hAnsi="Times New Roman" w:cs="Times New Roman"/>
                <w:lang w:eastAsia="it-IT" w:bidi="it-IT"/>
              </w:rPr>
              <w:t xml:space="preserve">colastico </w:t>
            </w:r>
            <w:r w:rsidR="000279A6" w:rsidRPr="005E27C6">
              <w:rPr>
                <w:rFonts w:ascii="Times New Roman" w:eastAsia="Century Gothic" w:hAnsi="Times New Roman" w:cs="Times New Roman"/>
                <w:lang w:eastAsia="it-IT" w:bidi="it-IT"/>
              </w:rPr>
              <w:t>R</w:t>
            </w:r>
            <w:r w:rsidRPr="005E27C6">
              <w:rPr>
                <w:rFonts w:ascii="Times New Roman" w:eastAsia="Century Gothic" w:hAnsi="Times New Roman" w:cs="Times New Roman"/>
                <w:lang w:eastAsia="it-IT" w:bidi="it-IT"/>
              </w:rPr>
              <w:t>egionale della Lombardia per il sostegno ai progetti di sensibilizzazione nelle scuole sul contrasto al gioco d’azzardo – anni scolastici 2017/2018 e 2018/2019 – l.r. 8/2013”</w:t>
            </w:r>
          </w:p>
          <w:p w:rsidR="00ED7207" w:rsidRPr="005E27C6" w:rsidRDefault="00ED7207" w:rsidP="00ED7207">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DGR N. XI/ 585/2018 “Approvazione programma di attività per il contrasto al gioco d’azzardo patologico –attuazione D.G.R. n. 159 del 29/05/2018 e D.C.R. n. 1497 dell’11/04/ 2017 (di concerto con l'Assessore Bolognini)</w:t>
            </w:r>
          </w:p>
          <w:p w:rsidR="00ED7207" w:rsidRPr="005E27C6" w:rsidRDefault="00ED7207" w:rsidP="00ED7207">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DGR N.XI/1114/2018 ”Determinazione di azioni locali di sistema nell’ambito della programmazione delle progettualità degli enti locali per la prevenzione e contrasto al gioco d’azzardo patologico in attuazione della l.r. 21 ottobre 2013, n. 8  (di concerto con l'Assessore Gallera)</w:t>
            </w:r>
          </w:p>
          <w:p w:rsidR="00C46D07" w:rsidRPr="005E27C6" w:rsidRDefault="00C46D07" w:rsidP="00C46D07">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DGR N.XI/2609/2019 “Azioni locali di sistema nel contesto degli Ambiti Territoriali in materia di prevenzione e contrasto al gioco d’azzardo patologico (L.R. 21 ottobre 2013 n.8) (</w:t>
            </w:r>
            <w:r w:rsidR="00136182" w:rsidRPr="005E27C6">
              <w:rPr>
                <w:rFonts w:ascii="Times New Roman" w:eastAsia="Century Gothic" w:hAnsi="Times New Roman" w:cs="Times New Roman"/>
                <w:lang w:eastAsia="it-IT" w:bidi="it-IT"/>
              </w:rPr>
              <w:t>d</w:t>
            </w:r>
            <w:r w:rsidRPr="005E27C6">
              <w:rPr>
                <w:rFonts w:ascii="Times New Roman" w:eastAsia="Century Gothic" w:hAnsi="Times New Roman" w:cs="Times New Roman"/>
                <w:lang w:eastAsia="it-IT" w:bidi="it-IT"/>
              </w:rPr>
              <w:t>i concerto con l’Assessore Gallera</w:t>
            </w:r>
            <w:r w:rsidR="00136182" w:rsidRPr="005E27C6">
              <w:rPr>
                <w:rFonts w:ascii="Times New Roman" w:eastAsia="Century Gothic" w:hAnsi="Times New Roman" w:cs="Times New Roman"/>
                <w:lang w:eastAsia="it-IT" w:bidi="it-IT"/>
              </w:rPr>
              <w:t>)”</w:t>
            </w:r>
          </w:p>
          <w:p w:rsidR="00C46D07" w:rsidRDefault="00C46D07" w:rsidP="00C46D07">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 xml:space="preserve">DGR N. XI/2597/2019 “Determinazioni in merito alla realizzazione </w:t>
            </w:r>
            <w:r w:rsidRPr="005E27C6">
              <w:rPr>
                <w:rFonts w:ascii="Times New Roman" w:eastAsia="Century Gothic" w:hAnsi="Times New Roman" w:cs="Times New Roman"/>
                <w:lang w:eastAsia="it-IT" w:bidi="it-IT"/>
              </w:rPr>
              <w:lastRenderedPageBreak/>
              <w:t>dell’Obiettivo generale 1 del Programma di attività per il contrasto al gioco d’azzardo patologico di cui alla DGR 585/2018 e approvazione delle relative linee di indirizzo alle ATS (di concerto con l’Assessore Bolognini)</w:t>
            </w:r>
            <w:r w:rsidR="00136182" w:rsidRPr="005E27C6">
              <w:rPr>
                <w:rFonts w:ascii="Times New Roman" w:eastAsia="Century Gothic" w:hAnsi="Times New Roman" w:cs="Times New Roman"/>
                <w:lang w:eastAsia="it-IT" w:bidi="it-IT"/>
              </w:rPr>
              <w:t>”</w:t>
            </w:r>
          </w:p>
          <w:p w:rsidR="00ED7207" w:rsidRPr="00365C2A" w:rsidRDefault="00365C2A" w:rsidP="00365C2A">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365C2A">
              <w:rPr>
                <w:rFonts w:ascii="Times New Roman" w:eastAsia="Century Gothic" w:hAnsi="Times New Roman" w:cs="Times New Roman"/>
                <w:lang w:eastAsia="it-IT" w:bidi="it-IT"/>
              </w:rPr>
              <w:t xml:space="preserve">Provvedimenti di ATS Brianza: Deliberazione n. 119/19 “Approvazione del Piano finalizzato al contrasto al Gioco d’Azzardo patologico” a seguito delle indicazioni regionali di cui alla nota G1.2019.000.3908 del 31/1/2019 e </w:t>
            </w:r>
            <w:r w:rsidR="00AA2F94" w:rsidRPr="00365C2A">
              <w:rPr>
                <w:rFonts w:ascii="Times New Roman" w:eastAsia="Century Gothic" w:hAnsi="Times New Roman" w:cs="Times New Roman"/>
                <w:lang w:eastAsia="it-IT" w:bidi="it-IT"/>
              </w:rPr>
              <w:t xml:space="preserve"> Deliberazione n. 605 del 26/8/2019 “</w:t>
            </w:r>
            <w:r w:rsidRPr="00365C2A">
              <w:rPr>
                <w:rFonts w:ascii="Times New Roman" w:eastAsia="Century Gothic" w:hAnsi="Times New Roman" w:cs="Times New Roman"/>
                <w:lang w:eastAsia="it-IT" w:bidi="it-IT"/>
              </w:rPr>
              <w:t>P</w:t>
            </w:r>
            <w:r w:rsidR="00AA2F94" w:rsidRPr="00365C2A">
              <w:rPr>
                <w:rFonts w:ascii="Times New Roman" w:eastAsia="Century Gothic" w:hAnsi="Times New Roman" w:cs="Times New Roman"/>
                <w:lang w:eastAsia="it-IT" w:bidi="it-IT"/>
              </w:rPr>
              <w:t>rogetto Mind the GAP capofila Comune di Lecco: ammissione alla sperimentazione di azioni locali di sistema per la prevenzione ed il contrasto al gioco d’azzardo patologico (ex DGR n. XI/1114 del 19/12/2018)</w:t>
            </w:r>
          </w:p>
        </w:tc>
      </w:tr>
      <w:tr w:rsidR="00014A75" w:rsidRPr="005E27C6" w:rsidTr="005E27C6">
        <w:trPr>
          <w:trHeight w:val="1681"/>
        </w:trPr>
        <w:tc>
          <w:tcPr>
            <w:tcW w:w="1959" w:type="dxa"/>
          </w:tcPr>
          <w:p w:rsidR="00014A75" w:rsidRPr="005E27C6" w:rsidRDefault="00DF1929">
            <w:pPr>
              <w:rPr>
                <w:rFonts w:ascii="Times New Roman" w:hAnsi="Times New Roman" w:cs="Times New Roman"/>
                <w:color w:val="000000"/>
              </w:rPr>
            </w:pPr>
            <w:r w:rsidRPr="005E27C6">
              <w:rPr>
                <w:rFonts w:ascii="Times New Roman" w:eastAsia="Century Gothic" w:hAnsi="Times New Roman" w:cs="Times New Roman"/>
                <w:lang w:eastAsia="it-IT" w:bidi="it-IT"/>
              </w:rPr>
              <w:lastRenderedPageBreak/>
              <w:t>Caratteristiche del modello organizzativo e di governance</w:t>
            </w:r>
          </w:p>
        </w:tc>
        <w:tc>
          <w:tcPr>
            <w:tcW w:w="7669" w:type="dxa"/>
          </w:tcPr>
          <w:p w:rsidR="00136182" w:rsidRPr="005E27C6" w:rsidRDefault="00DF1929" w:rsidP="00CF7D8C">
            <w:pPr>
              <w:pStyle w:val="Titolo1"/>
              <w:tabs>
                <w:tab w:val="left" w:pos="284"/>
              </w:tabs>
              <w:spacing w:before="0" w:line="252" w:lineRule="auto"/>
              <w:jc w:val="both"/>
              <w:outlineLvl w:val="0"/>
              <w:rPr>
                <w:rFonts w:ascii="Times New Roman" w:eastAsia="Century Gothic" w:hAnsi="Times New Roman" w:cs="Times New Roman"/>
                <w:i/>
                <w:iCs/>
                <w:color w:val="auto"/>
                <w:sz w:val="22"/>
                <w:szCs w:val="22"/>
                <w:lang w:eastAsia="it-IT" w:bidi="it-IT"/>
              </w:rPr>
            </w:pPr>
            <w:r w:rsidRPr="005E27C6">
              <w:rPr>
                <w:rFonts w:ascii="Times New Roman" w:eastAsia="Century Gothic" w:hAnsi="Times New Roman" w:cs="Times New Roman"/>
                <w:i/>
                <w:iCs/>
                <w:color w:val="auto"/>
                <w:sz w:val="22"/>
                <w:szCs w:val="22"/>
                <w:lang w:eastAsia="it-IT" w:bidi="it-IT"/>
              </w:rPr>
              <w:t xml:space="preserve">Punto </w:t>
            </w:r>
            <w:bookmarkStart w:id="2" w:name="_Toc25849389"/>
            <w:r w:rsidRPr="005E27C6">
              <w:rPr>
                <w:rFonts w:ascii="Times New Roman" w:eastAsia="Century Gothic" w:hAnsi="Times New Roman" w:cs="Times New Roman"/>
                <w:i/>
                <w:iCs/>
                <w:color w:val="auto"/>
                <w:sz w:val="22"/>
                <w:szCs w:val="22"/>
                <w:lang w:eastAsia="it-IT" w:bidi="it-IT"/>
              </w:rPr>
              <w:t>3 dell’Allegato A) alla DGR</w:t>
            </w:r>
            <w:r w:rsidR="00C46D07" w:rsidRPr="005E27C6">
              <w:rPr>
                <w:rFonts w:ascii="Times New Roman" w:eastAsia="Century Gothic" w:hAnsi="Times New Roman" w:cs="Times New Roman"/>
                <w:i/>
                <w:iCs/>
                <w:color w:val="auto"/>
                <w:sz w:val="22"/>
                <w:szCs w:val="22"/>
                <w:lang w:eastAsia="it-IT" w:bidi="it-IT"/>
              </w:rPr>
              <w:t xml:space="preserve"> 2609/2019</w:t>
            </w:r>
          </w:p>
          <w:p w:rsidR="00014A75" w:rsidRPr="005E27C6" w:rsidRDefault="00136182" w:rsidP="00CF7D8C">
            <w:pPr>
              <w:pStyle w:val="Titolo1"/>
              <w:tabs>
                <w:tab w:val="left" w:pos="284"/>
              </w:tabs>
              <w:spacing w:before="0" w:line="252" w:lineRule="auto"/>
              <w:jc w:val="both"/>
              <w:outlineLvl w:val="0"/>
              <w:rPr>
                <w:rFonts w:ascii="Times New Roman" w:eastAsia="Century Gothic" w:hAnsi="Times New Roman" w:cs="Times New Roman"/>
                <w:color w:val="auto"/>
                <w:sz w:val="22"/>
                <w:szCs w:val="22"/>
                <w:lang w:eastAsia="it-IT" w:bidi="it-IT"/>
              </w:rPr>
            </w:pPr>
            <w:r w:rsidRPr="005E27C6">
              <w:rPr>
                <w:rFonts w:ascii="Times New Roman" w:eastAsia="Century Gothic" w:hAnsi="Times New Roman" w:cs="Times New Roman"/>
                <w:color w:val="auto"/>
                <w:sz w:val="22"/>
                <w:szCs w:val="22"/>
                <w:lang w:eastAsia="it-IT" w:bidi="it-IT"/>
              </w:rPr>
              <w:t>M</w:t>
            </w:r>
            <w:r w:rsidR="00DF1929" w:rsidRPr="005E27C6">
              <w:rPr>
                <w:rFonts w:ascii="Times New Roman" w:eastAsia="Century Gothic" w:hAnsi="Times New Roman" w:cs="Times New Roman"/>
                <w:color w:val="auto"/>
                <w:sz w:val="22"/>
                <w:szCs w:val="22"/>
                <w:lang w:eastAsia="it-IT" w:bidi="it-IT"/>
              </w:rPr>
              <w:t xml:space="preserve">odello organizzativo e di governance </w:t>
            </w:r>
            <w:bookmarkEnd w:id="2"/>
            <w:r w:rsidR="002542B8" w:rsidRPr="005E27C6">
              <w:rPr>
                <w:rFonts w:ascii="Times New Roman" w:eastAsia="Century Gothic" w:hAnsi="Times New Roman" w:cs="Times New Roman"/>
                <w:color w:val="auto"/>
                <w:sz w:val="22"/>
                <w:szCs w:val="22"/>
                <w:lang w:eastAsia="it-IT" w:bidi="it-IT"/>
              </w:rPr>
              <w:t>articolato in:</w:t>
            </w:r>
          </w:p>
          <w:p w:rsidR="002542B8" w:rsidRPr="005E27C6" w:rsidRDefault="002542B8" w:rsidP="00CF7D8C">
            <w:pPr>
              <w:pStyle w:val="Paragrafoelenco"/>
              <w:numPr>
                <w:ilvl w:val="0"/>
                <w:numId w:val="11"/>
              </w:numPr>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Assemblea dei partner</w:t>
            </w:r>
          </w:p>
          <w:p w:rsidR="002542B8" w:rsidRPr="005E27C6" w:rsidRDefault="002542B8" w:rsidP="00CF7D8C">
            <w:pPr>
              <w:pStyle w:val="Paragrafoelenco"/>
              <w:numPr>
                <w:ilvl w:val="0"/>
                <w:numId w:val="11"/>
              </w:numPr>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Cabina di regia e  Tavolo d  Sistema</w:t>
            </w:r>
          </w:p>
          <w:p w:rsidR="002542B8" w:rsidRPr="005E27C6" w:rsidRDefault="002542B8" w:rsidP="002542B8">
            <w:pPr>
              <w:pStyle w:val="Paragrafoelenco"/>
              <w:numPr>
                <w:ilvl w:val="0"/>
                <w:numId w:val="11"/>
              </w:numPr>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Tavoli Tecnici</w:t>
            </w:r>
          </w:p>
          <w:p w:rsidR="002542B8" w:rsidRPr="005E27C6" w:rsidRDefault="002542B8" w:rsidP="004448AF">
            <w:pPr>
              <w:pStyle w:val="Paragrafoelenco"/>
              <w:numPr>
                <w:ilvl w:val="0"/>
                <w:numId w:val="11"/>
              </w:numPr>
              <w:rPr>
                <w:rFonts w:ascii="Times New Roman" w:hAnsi="Times New Roman" w:cs="Times New Roman"/>
                <w:lang w:eastAsia="it-IT" w:bidi="it-IT"/>
              </w:rPr>
            </w:pPr>
            <w:r w:rsidRPr="005E27C6">
              <w:rPr>
                <w:rFonts w:ascii="Times New Roman" w:eastAsia="Century Gothic" w:hAnsi="Times New Roman" w:cs="Times New Roman"/>
                <w:lang w:eastAsia="it-IT" w:bidi="it-IT"/>
              </w:rPr>
              <w:t>Tavolo di Monitoraggio</w:t>
            </w:r>
          </w:p>
        </w:tc>
      </w:tr>
      <w:tr w:rsidR="00014A75" w:rsidRPr="005E27C6" w:rsidTr="005E27C6">
        <w:tc>
          <w:tcPr>
            <w:tcW w:w="1959" w:type="dxa"/>
          </w:tcPr>
          <w:p w:rsidR="005F5BE1" w:rsidRPr="005E27C6" w:rsidRDefault="00C0314E">
            <w:pPr>
              <w:rPr>
                <w:rFonts w:ascii="Times New Roman" w:eastAsia="Century Gothic" w:hAnsi="Times New Roman" w:cs="Times New Roman"/>
                <w:lang w:eastAsia="it-IT" w:bidi="it-IT"/>
              </w:rPr>
            </w:pPr>
            <w:r>
              <w:rPr>
                <w:rFonts w:ascii="Times New Roman" w:eastAsia="Century Gothic" w:hAnsi="Times New Roman" w:cs="Times New Roman"/>
                <w:lang w:eastAsia="it-IT" w:bidi="it-IT"/>
              </w:rPr>
              <w:t xml:space="preserve">SOGGETTI AMMESSI A PARTECIPARE </w:t>
            </w:r>
            <w:r w:rsidR="00DF1929" w:rsidRPr="005E27C6">
              <w:rPr>
                <w:rFonts w:ascii="Times New Roman" w:eastAsia="Century Gothic" w:hAnsi="Times New Roman" w:cs="Times New Roman"/>
                <w:lang w:eastAsia="it-IT" w:bidi="it-IT"/>
              </w:rPr>
              <w:t>Dimensione territoriale</w:t>
            </w:r>
            <w:r w:rsidR="005F5BE1" w:rsidRPr="005E27C6">
              <w:rPr>
                <w:rFonts w:ascii="Times New Roman" w:eastAsia="Century Gothic" w:hAnsi="Times New Roman" w:cs="Times New Roman"/>
                <w:lang w:eastAsia="it-IT" w:bidi="it-IT"/>
              </w:rPr>
              <w:t xml:space="preserve"> </w:t>
            </w:r>
          </w:p>
          <w:p w:rsidR="00014A75" w:rsidRPr="005E27C6" w:rsidRDefault="00014A75">
            <w:pPr>
              <w:rPr>
                <w:rFonts w:ascii="Times New Roman" w:hAnsi="Times New Roman" w:cs="Times New Roman"/>
                <w:i/>
                <w:iCs/>
                <w:color w:val="000000"/>
              </w:rPr>
            </w:pPr>
          </w:p>
        </w:tc>
        <w:tc>
          <w:tcPr>
            <w:tcW w:w="7669" w:type="dxa"/>
          </w:tcPr>
          <w:p w:rsidR="00C46D07" w:rsidRPr="005E27C6" w:rsidRDefault="00C46D07" w:rsidP="00C46D07">
            <w:pPr>
              <w:pStyle w:val="TableParagraph"/>
              <w:spacing w:line="252" w:lineRule="auto"/>
              <w:ind w:right="96"/>
              <w:jc w:val="both"/>
              <w:rPr>
                <w:rFonts w:eastAsia="Century Gothic"/>
                <w:i/>
                <w:iCs/>
              </w:rPr>
            </w:pPr>
            <w:r w:rsidRPr="005E27C6">
              <w:rPr>
                <w:rFonts w:eastAsia="Century Gothic"/>
                <w:i/>
                <w:iCs/>
              </w:rPr>
              <w:t>Punto 4 Allegato A) DGR 2609/2019</w:t>
            </w:r>
          </w:p>
          <w:p w:rsidR="00DF1929" w:rsidRPr="005E27C6" w:rsidRDefault="002542B8" w:rsidP="00C46D07">
            <w:pPr>
              <w:pStyle w:val="TableParagraph"/>
              <w:spacing w:line="252" w:lineRule="auto"/>
              <w:ind w:right="96"/>
              <w:jc w:val="both"/>
              <w:rPr>
                <w:rFonts w:eastAsia="Century Gothic"/>
              </w:rPr>
            </w:pPr>
            <w:r w:rsidRPr="005E27C6">
              <w:rPr>
                <w:rFonts w:eastAsia="Century Gothic"/>
              </w:rPr>
              <w:t xml:space="preserve">Dimensione ottimale: </w:t>
            </w:r>
            <w:r w:rsidR="00DF1929" w:rsidRPr="005E27C6">
              <w:rPr>
                <w:rFonts w:eastAsia="Century Gothic"/>
              </w:rPr>
              <w:t>Ambito distrettuale.</w:t>
            </w:r>
          </w:p>
          <w:p w:rsidR="00014A75" w:rsidRPr="005E27C6" w:rsidRDefault="00DF1929" w:rsidP="000279A6">
            <w:pPr>
              <w:pStyle w:val="TableParagraph"/>
              <w:spacing w:line="252" w:lineRule="auto"/>
              <w:ind w:right="96"/>
              <w:jc w:val="both"/>
              <w:rPr>
                <w:color w:val="000000"/>
              </w:rPr>
            </w:pPr>
            <w:r w:rsidRPr="005E27C6">
              <w:rPr>
                <w:rFonts w:eastAsia="Century Gothic"/>
              </w:rPr>
              <w:t>Potranno essere proposte altre aggregazioni territoriali</w:t>
            </w:r>
            <w:r w:rsidR="004448AF" w:rsidRPr="005E27C6">
              <w:rPr>
                <w:rFonts w:eastAsia="Century Gothic"/>
              </w:rPr>
              <w:t xml:space="preserve"> di più Ambiti, s</w:t>
            </w:r>
            <w:r w:rsidRPr="005E27C6">
              <w:rPr>
                <w:rFonts w:eastAsia="Century Gothic"/>
              </w:rPr>
              <w:t xml:space="preserve">ostenute da un Ambito capofila, previlegiando la continuità e l’ampliamento della sperimentazione </w:t>
            </w:r>
            <w:r w:rsidR="000279A6" w:rsidRPr="005E27C6">
              <w:rPr>
                <w:rFonts w:eastAsia="Century Gothic"/>
              </w:rPr>
              <w:t xml:space="preserve">ex DGR 1114/2018, </w:t>
            </w:r>
            <w:r w:rsidRPr="005E27C6">
              <w:rPr>
                <w:rFonts w:eastAsia="Century Gothic"/>
              </w:rPr>
              <w:t xml:space="preserve">realizzata dagli 8 Capofila. </w:t>
            </w:r>
            <w:r w:rsidR="000279A6" w:rsidRPr="005E27C6">
              <w:rPr>
                <w:rFonts w:eastAsia="Century Gothic"/>
              </w:rPr>
              <w:t>S</w:t>
            </w:r>
            <w:r w:rsidRPr="005E27C6">
              <w:rPr>
                <w:rFonts w:eastAsia="Century Gothic"/>
              </w:rPr>
              <w:t>ono escluse candidature da parte di un solo Ambito</w:t>
            </w:r>
            <w:r w:rsidR="00A36D7E">
              <w:rPr>
                <w:rFonts w:eastAsia="Century Gothic"/>
              </w:rPr>
              <w:t>.</w:t>
            </w:r>
          </w:p>
        </w:tc>
      </w:tr>
      <w:tr w:rsidR="00C471F5" w:rsidRPr="005E27C6" w:rsidTr="005E27C6">
        <w:tc>
          <w:tcPr>
            <w:tcW w:w="1959" w:type="dxa"/>
          </w:tcPr>
          <w:p w:rsidR="00C471F5" w:rsidRPr="005E27C6" w:rsidRDefault="00C471F5">
            <w:pPr>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Durata del programma e degli interventi</w:t>
            </w:r>
          </w:p>
        </w:tc>
        <w:tc>
          <w:tcPr>
            <w:tcW w:w="7669" w:type="dxa"/>
          </w:tcPr>
          <w:p w:rsidR="00C471F5" w:rsidRPr="005E27C6" w:rsidRDefault="00C471F5" w:rsidP="00CF7D8C">
            <w:pPr>
              <w:spacing w:after="60" w:line="252" w:lineRule="auto"/>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La realizzazione della proposta approvata avrà una durata di 12 mesi dalla sottoscrizione della Convenzione Operativa indicata al punto</w:t>
            </w:r>
            <w:r w:rsidR="0046667B" w:rsidRPr="005E27C6">
              <w:rPr>
                <w:rFonts w:ascii="Times New Roman" w:eastAsia="Century Gothic" w:hAnsi="Times New Roman" w:cs="Times New Roman"/>
                <w:lang w:eastAsia="it-IT" w:bidi="it-IT"/>
              </w:rPr>
              <w:t xml:space="preserve"> 7 dell’Allegato A) alla DGR</w:t>
            </w:r>
            <w:r w:rsidRPr="005E27C6">
              <w:rPr>
                <w:rFonts w:ascii="Times New Roman" w:eastAsia="Century Gothic" w:hAnsi="Times New Roman" w:cs="Times New Roman"/>
                <w:lang w:eastAsia="it-IT" w:bidi="it-IT"/>
              </w:rPr>
              <w:t xml:space="preserve"> </w:t>
            </w:r>
            <w:r w:rsidR="00CF7D8C" w:rsidRPr="005E27C6">
              <w:rPr>
                <w:rFonts w:ascii="Times New Roman" w:eastAsia="Century Gothic" w:hAnsi="Times New Roman" w:cs="Times New Roman"/>
                <w:lang w:eastAsia="it-IT" w:bidi="it-IT"/>
              </w:rPr>
              <w:t>2609/2019</w:t>
            </w:r>
          </w:p>
        </w:tc>
      </w:tr>
      <w:tr w:rsidR="005F5BE1" w:rsidRPr="005E27C6" w:rsidTr="005E27C6">
        <w:tc>
          <w:tcPr>
            <w:tcW w:w="1959" w:type="dxa"/>
          </w:tcPr>
          <w:p w:rsidR="005F5BE1" w:rsidRPr="005E27C6" w:rsidRDefault="005F5BE1" w:rsidP="005F5BE1">
            <w:pPr>
              <w:rPr>
                <w:rFonts w:ascii="Times New Roman" w:eastAsia="Century Gothic" w:hAnsi="Times New Roman" w:cs="Times New Roman"/>
                <w:lang w:eastAsia="it-IT" w:bidi="it-IT"/>
              </w:rPr>
            </w:pPr>
            <w:bookmarkStart w:id="3" w:name="_Toc25849401"/>
            <w:r w:rsidRPr="005E27C6">
              <w:rPr>
                <w:rFonts w:ascii="Times New Roman" w:eastAsia="Century Gothic" w:hAnsi="Times New Roman" w:cs="Times New Roman"/>
                <w:lang w:eastAsia="it-IT" w:bidi="it-IT"/>
              </w:rPr>
              <w:t>Requisiti per l’ammissibilità delle proposte</w:t>
            </w:r>
            <w:bookmarkEnd w:id="3"/>
          </w:p>
          <w:p w:rsidR="005F5BE1" w:rsidRPr="005E27C6" w:rsidRDefault="005F5BE1" w:rsidP="00CF7D8C">
            <w:pPr>
              <w:rPr>
                <w:rFonts w:ascii="Times New Roman" w:eastAsia="Century Gothic" w:hAnsi="Times New Roman" w:cs="Times New Roman"/>
                <w:lang w:eastAsia="it-IT" w:bidi="it-IT"/>
              </w:rPr>
            </w:pPr>
          </w:p>
        </w:tc>
        <w:tc>
          <w:tcPr>
            <w:tcW w:w="7669" w:type="dxa"/>
          </w:tcPr>
          <w:p w:rsidR="00CF7D8C" w:rsidRPr="005E27C6" w:rsidRDefault="00CF7D8C" w:rsidP="00CF7D8C">
            <w:pPr>
              <w:spacing w:after="120"/>
              <w:jc w:val="both"/>
              <w:rPr>
                <w:rFonts w:ascii="Times New Roman" w:eastAsia="Century Gothic" w:hAnsi="Times New Roman" w:cs="Times New Roman"/>
                <w:i/>
                <w:iCs/>
                <w:lang w:eastAsia="it-IT" w:bidi="it-IT"/>
              </w:rPr>
            </w:pPr>
            <w:r w:rsidRPr="005E27C6">
              <w:rPr>
                <w:rFonts w:ascii="Times New Roman" w:eastAsia="Century Gothic" w:hAnsi="Times New Roman" w:cs="Times New Roman"/>
                <w:i/>
                <w:iCs/>
                <w:lang w:eastAsia="it-IT" w:bidi="it-IT"/>
              </w:rPr>
              <w:t>Punto 7 Allegato A</w:t>
            </w:r>
            <w:r w:rsidR="00136182" w:rsidRPr="005E27C6">
              <w:rPr>
                <w:rFonts w:ascii="Times New Roman" w:eastAsia="Century Gothic" w:hAnsi="Times New Roman" w:cs="Times New Roman"/>
                <w:i/>
                <w:iCs/>
                <w:lang w:eastAsia="it-IT" w:bidi="it-IT"/>
              </w:rPr>
              <w:t>)</w:t>
            </w:r>
            <w:r w:rsidRPr="005E27C6">
              <w:rPr>
                <w:rFonts w:ascii="Times New Roman" w:eastAsia="Century Gothic" w:hAnsi="Times New Roman" w:cs="Times New Roman"/>
                <w:i/>
                <w:iCs/>
                <w:lang w:eastAsia="it-IT" w:bidi="it-IT"/>
              </w:rPr>
              <w:t xml:space="preserve"> DGR 2609/2019</w:t>
            </w:r>
          </w:p>
          <w:p w:rsidR="005F5BE1" w:rsidRPr="005E27C6" w:rsidRDefault="00CF7D8C" w:rsidP="00136182">
            <w:pPr>
              <w:pStyle w:val="Paragrafoelenco"/>
              <w:numPr>
                <w:ilvl w:val="0"/>
                <w:numId w:val="2"/>
              </w:numPr>
              <w:tabs>
                <w:tab w:val="clear" w:pos="720"/>
                <w:tab w:val="num" w:pos="460"/>
                <w:tab w:val="left" w:pos="4146"/>
              </w:tabs>
              <w:spacing w:after="60"/>
              <w:ind w:left="459" w:hanging="425"/>
              <w:contextualSpacing w:val="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Domanda presentata dal Capofila di a</w:t>
            </w:r>
            <w:r w:rsidR="005F5BE1" w:rsidRPr="005E27C6">
              <w:rPr>
                <w:rFonts w:ascii="Times New Roman" w:eastAsia="Century Gothic" w:hAnsi="Times New Roman" w:cs="Times New Roman"/>
                <w:lang w:eastAsia="it-IT" w:bidi="it-IT"/>
              </w:rPr>
              <w:t xml:space="preserve">lmeno due Ambiti, preferibilmente confinanti o con </w:t>
            </w:r>
            <w:r w:rsidR="00381239" w:rsidRPr="005E27C6">
              <w:rPr>
                <w:rFonts w:ascii="Times New Roman" w:eastAsia="Century Gothic" w:hAnsi="Times New Roman" w:cs="Times New Roman"/>
                <w:lang w:eastAsia="it-IT" w:bidi="it-IT"/>
              </w:rPr>
              <w:t xml:space="preserve">una </w:t>
            </w:r>
            <w:r w:rsidRPr="005E27C6">
              <w:rPr>
                <w:rFonts w:ascii="Times New Roman" w:eastAsia="Century Gothic" w:hAnsi="Times New Roman" w:cs="Times New Roman"/>
                <w:lang w:eastAsia="it-IT" w:bidi="it-IT"/>
              </w:rPr>
              <w:t>c</w:t>
            </w:r>
            <w:r w:rsidR="005F5BE1" w:rsidRPr="005E27C6">
              <w:rPr>
                <w:rFonts w:ascii="Times New Roman" w:eastAsia="Century Gothic" w:hAnsi="Times New Roman" w:cs="Times New Roman"/>
                <w:lang w:eastAsia="it-IT" w:bidi="it-IT"/>
              </w:rPr>
              <w:t>omune</w:t>
            </w:r>
            <w:r w:rsidRPr="005E27C6">
              <w:rPr>
                <w:rFonts w:ascii="Times New Roman" w:eastAsia="Century Gothic" w:hAnsi="Times New Roman" w:cs="Times New Roman"/>
                <w:lang w:eastAsia="it-IT" w:bidi="it-IT"/>
              </w:rPr>
              <w:t xml:space="preserve"> </w:t>
            </w:r>
            <w:r w:rsidR="005F5BE1" w:rsidRPr="005E27C6">
              <w:rPr>
                <w:rFonts w:ascii="Times New Roman" w:eastAsia="Century Gothic" w:hAnsi="Times New Roman" w:cs="Times New Roman"/>
                <w:lang w:eastAsia="it-IT" w:bidi="it-IT"/>
              </w:rPr>
              <w:t xml:space="preserve">esperienza di </w:t>
            </w:r>
            <w:r w:rsidRPr="005E27C6">
              <w:rPr>
                <w:rFonts w:ascii="Times New Roman" w:eastAsia="Century Gothic" w:hAnsi="Times New Roman" w:cs="Times New Roman"/>
                <w:lang w:eastAsia="it-IT" w:bidi="it-IT"/>
              </w:rPr>
              <w:t>p</w:t>
            </w:r>
            <w:r w:rsidR="005F5BE1" w:rsidRPr="005E27C6">
              <w:rPr>
                <w:rFonts w:ascii="Times New Roman" w:eastAsia="Century Gothic" w:hAnsi="Times New Roman" w:cs="Times New Roman"/>
                <w:lang w:eastAsia="it-IT" w:bidi="it-IT"/>
              </w:rPr>
              <w:t>rogrammazione</w:t>
            </w:r>
            <w:r w:rsidR="00136182" w:rsidRPr="005E27C6">
              <w:rPr>
                <w:rFonts w:ascii="Times New Roman" w:eastAsia="Century Gothic" w:hAnsi="Times New Roman" w:cs="Times New Roman"/>
                <w:lang w:eastAsia="it-IT" w:bidi="it-IT"/>
              </w:rPr>
              <w:t xml:space="preserve">/ </w:t>
            </w:r>
            <w:r w:rsidR="005F5BE1" w:rsidRPr="005E27C6">
              <w:rPr>
                <w:rFonts w:ascii="Times New Roman" w:eastAsia="Century Gothic" w:hAnsi="Times New Roman" w:cs="Times New Roman"/>
                <w:lang w:eastAsia="it-IT" w:bidi="it-IT"/>
              </w:rPr>
              <w:t xml:space="preserve">progettazione </w:t>
            </w:r>
          </w:p>
          <w:p w:rsidR="005F5BE1" w:rsidRPr="005E27C6" w:rsidRDefault="005F5BE1" w:rsidP="00CF7D8C">
            <w:pPr>
              <w:pStyle w:val="Paragrafoelenco"/>
              <w:numPr>
                <w:ilvl w:val="0"/>
                <w:numId w:val="2"/>
              </w:numPr>
              <w:tabs>
                <w:tab w:val="clear" w:pos="720"/>
                <w:tab w:val="num" w:pos="460"/>
              </w:tabs>
              <w:spacing w:after="60"/>
              <w:ind w:left="459" w:hanging="425"/>
              <w:contextualSpacing w:val="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Adesione di almeno l’80% dei comuni di ciascun Ambito</w:t>
            </w:r>
          </w:p>
          <w:p w:rsidR="005F5BE1" w:rsidRPr="005E27C6" w:rsidRDefault="005F5BE1" w:rsidP="00CF7D8C">
            <w:pPr>
              <w:pStyle w:val="Paragrafoelenco"/>
              <w:numPr>
                <w:ilvl w:val="0"/>
                <w:numId w:val="2"/>
              </w:numPr>
              <w:tabs>
                <w:tab w:val="clear" w:pos="720"/>
                <w:tab w:val="num" w:pos="460"/>
              </w:tabs>
              <w:ind w:left="459" w:hanging="425"/>
              <w:contextualSpacing w:val="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Coinvolgimento nella rete di:</w:t>
            </w:r>
          </w:p>
          <w:p w:rsidR="005F5BE1" w:rsidRPr="005E27C6" w:rsidRDefault="005F5BE1" w:rsidP="00CF7D8C">
            <w:pPr>
              <w:pStyle w:val="Paragrafoelenco"/>
              <w:numPr>
                <w:ilvl w:val="1"/>
                <w:numId w:val="9"/>
              </w:numPr>
              <w:tabs>
                <w:tab w:val="clear" w:pos="1440"/>
              </w:tabs>
              <w:ind w:left="744" w:hanging="284"/>
              <w:contextualSpacing w:val="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ASST</w:t>
            </w:r>
          </w:p>
          <w:p w:rsidR="005F5BE1" w:rsidRPr="005E27C6" w:rsidRDefault="005F5BE1" w:rsidP="00CF7D8C">
            <w:pPr>
              <w:pStyle w:val="Paragrafoelenco"/>
              <w:numPr>
                <w:ilvl w:val="1"/>
                <w:numId w:val="9"/>
              </w:numPr>
              <w:tabs>
                <w:tab w:val="clear" w:pos="1440"/>
              </w:tabs>
              <w:ind w:left="744" w:hanging="284"/>
              <w:contextualSpacing w:val="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Ufficio scolastico Territoriale o Ambito Scolastico Territoriale o Istituti Scolastici della Rete delle Scuole che Promuovono Salute</w:t>
            </w:r>
          </w:p>
          <w:p w:rsidR="005F5BE1" w:rsidRPr="005E27C6" w:rsidRDefault="005F5BE1" w:rsidP="00CF7D8C">
            <w:pPr>
              <w:pStyle w:val="Paragrafoelenco"/>
              <w:numPr>
                <w:ilvl w:val="1"/>
                <w:numId w:val="9"/>
              </w:numPr>
              <w:tabs>
                <w:tab w:val="clear" w:pos="1440"/>
              </w:tabs>
              <w:spacing w:after="120"/>
              <w:ind w:left="744" w:hanging="284"/>
              <w:contextualSpacing w:val="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 xml:space="preserve">Soggetti del </w:t>
            </w:r>
            <w:r w:rsidR="004448AF" w:rsidRPr="005E27C6">
              <w:rPr>
                <w:rFonts w:ascii="Times New Roman" w:eastAsia="Century Gothic" w:hAnsi="Times New Roman" w:cs="Times New Roman"/>
                <w:lang w:eastAsia="it-IT" w:bidi="it-IT"/>
              </w:rPr>
              <w:t>T</w:t>
            </w:r>
            <w:r w:rsidRPr="005E27C6">
              <w:rPr>
                <w:rFonts w:ascii="Times New Roman" w:eastAsia="Century Gothic" w:hAnsi="Times New Roman" w:cs="Times New Roman"/>
                <w:lang w:eastAsia="it-IT" w:bidi="it-IT"/>
              </w:rPr>
              <w:t xml:space="preserve">erzo </w:t>
            </w:r>
            <w:r w:rsidR="004448AF" w:rsidRPr="005E27C6">
              <w:rPr>
                <w:rFonts w:ascii="Times New Roman" w:eastAsia="Century Gothic" w:hAnsi="Times New Roman" w:cs="Times New Roman"/>
                <w:lang w:eastAsia="it-IT" w:bidi="it-IT"/>
              </w:rPr>
              <w:t>S</w:t>
            </w:r>
            <w:r w:rsidRPr="005E27C6">
              <w:rPr>
                <w:rFonts w:ascii="Times New Roman" w:eastAsia="Century Gothic" w:hAnsi="Times New Roman" w:cs="Times New Roman"/>
                <w:lang w:eastAsia="it-IT" w:bidi="it-IT"/>
              </w:rPr>
              <w:t xml:space="preserve">ettore </w:t>
            </w:r>
            <w:r w:rsidR="00CF7D8C" w:rsidRPr="005E27C6">
              <w:rPr>
                <w:rFonts w:ascii="Times New Roman" w:eastAsia="Century Gothic" w:hAnsi="Times New Roman" w:cs="Times New Roman"/>
                <w:lang w:eastAsia="it-IT" w:bidi="it-IT"/>
              </w:rPr>
              <w:t>–</w:t>
            </w:r>
            <w:r w:rsidR="004448AF" w:rsidRPr="005E27C6">
              <w:rPr>
                <w:rFonts w:ascii="Times New Roman" w:eastAsia="Century Gothic" w:hAnsi="Times New Roman" w:cs="Times New Roman"/>
                <w:lang w:eastAsia="it-IT" w:bidi="it-IT"/>
              </w:rPr>
              <w:t xml:space="preserve"> A</w:t>
            </w:r>
            <w:r w:rsidRPr="005E27C6">
              <w:rPr>
                <w:rFonts w:ascii="Times New Roman" w:eastAsia="Century Gothic" w:hAnsi="Times New Roman" w:cs="Times New Roman"/>
                <w:lang w:eastAsia="it-IT" w:bidi="it-IT"/>
              </w:rPr>
              <w:t>ssociazionismo</w:t>
            </w:r>
          </w:p>
          <w:p w:rsidR="00CF7D8C" w:rsidRPr="005E27C6" w:rsidRDefault="00CF7D8C" w:rsidP="00136182">
            <w:pPr>
              <w:spacing w:after="120"/>
              <w:ind w:left="46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Nella rete dovrà essere presente anche l’ATS</w:t>
            </w:r>
            <w:r w:rsidR="00136182" w:rsidRPr="005E27C6">
              <w:rPr>
                <w:rFonts w:ascii="Times New Roman" w:eastAsia="Century Gothic" w:hAnsi="Times New Roman" w:cs="Times New Roman"/>
                <w:lang w:eastAsia="it-IT" w:bidi="it-IT"/>
              </w:rPr>
              <w:t xml:space="preserve">, </w:t>
            </w:r>
            <w:r w:rsidRPr="005E27C6">
              <w:rPr>
                <w:rFonts w:ascii="Times New Roman" w:eastAsia="Century Gothic" w:hAnsi="Times New Roman" w:cs="Times New Roman"/>
                <w:lang w:eastAsia="it-IT" w:bidi="it-IT"/>
              </w:rPr>
              <w:t>in coerenza con il modello organizzativo e di governance indicato dalla DGR 2609/2019</w:t>
            </w:r>
          </w:p>
          <w:p w:rsidR="005F5BE1" w:rsidRPr="005E27C6" w:rsidRDefault="005F5BE1" w:rsidP="00CF7D8C">
            <w:pPr>
              <w:pStyle w:val="Paragrafoelenco"/>
              <w:numPr>
                <w:ilvl w:val="0"/>
                <w:numId w:val="2"/>
              </w:numPr>
              <w:tabs>
                <w:tab w:val="clear" w:pos="720"/>
                <w:tab w:val="num" w:pos="460"/>
              </w:tabs>
              <w:spacing w:after="120"/>
              <w:ind w:left="459" w:hanging="425"/>
              <w:contextualSpacing w:val="0"/>
              <w:jc w:val="both"/>
              <w:rPr>
                <w:rFonts w:ascii="Times New Roman" w:hAnsi="Times New Roman" w:cs="Times New Roman"/>
                <w:color w:val="000000"/>
              </w:rPr>
            </w:pPr>
            <w:r w:rsidRPr="005E27C6">
              <w:rPr>
                <w:rFonts w:ascii="Times New Roman" w:eastAsia="Century Gothic" w:hAnsi="Times New Roman" w:cs="Times New Roman"/>
                <w:lang w:eastAsia="it-IT" w:bidi="it-IT"/>
              </w:rPr>
              <w:t xml:space="preserve">Coerenza della proposta con il modello organizzativo e di governance, le aree di intervento, gli obiettivi e le azioni indicati </w:t>
            </w:r>
            <w:r w:rsidR="000279A6" w:rsidRPr="005E27C6">
              <w:rPr>
                <w:rFonts w:ascii="Times New Roman" w:eastAsia="Century Gothic" w:hAnsi="Times New Roman" w:cs="Times New Roman"/>
                <w:lang w:eastAsia="it-IT" w:bidi="it-IT"/>
              </w:rPr>
              <w:t>nella DGR. 2609/2019.</w:t>
            </w:r>
          </w:p>
        </w:tc>
      </w:tr>
      <w:tr w:rsidR="00014A75" w:rsidRPr="00A531CE" w:rsidTr="005E27C6">
        <w:tc>
          <w:tcPr>
            <w:tcW w:w="1959" w:type="dxa"/>
          </w:tcPr>
          <w:p w:rsidR="00014A75" w:rsidRDefault="005F5BE1">
            <w:pPr>
              <w:rPr>
                <w:rFonts w:ascii="Times New Roman" w:eastAsia="Century Gothic" w:hAnsi="Times New Roman" w:cs="Times New Roman"/>
                <w:lang w:eastAsia="it-IT" w:bidi="it-IT"/>
              </w:rPr>
            </w:pPr>
            <w:r w:rsidRPr="00A531CE">
              <w:rPr>
                <w:rFonts w:ascii="Times New Roman" w:eastAsia="Century Gothic" w:hAnsi="Times New Roman" w:cs="Times New Roman"/>
                <w:lang w:eastAsia="it-IT" w:bidi="it-IT"/>
              </w:rPr>
              <w:t>Criteri</w:t>
            </w:r>
            <w:r w:rsidR="001A70A2" w:rsidRPr="00A531CE">
              <w:rPr>
                <w:rFonts w:ascii="Times New Roman" w:eastAsia="Century Gothic" w:hAnsi="Times New Roman" w:cs="Times New Roman"/>
                <w:lang w:eastAsia="it-IT" w:bidi="it-IT"/>
              </w:rPr>
              <w:t xml:space="preserve"> e modalità </w:t>
            </w:r>
            <w:r w:rsidR="003A4B30">
              <w:rPr>
                <w:rFonts w:ascii="Times New Roman" w:eastAsia="Century Gothic" w:hAnsi="Times New Roman" w:cs="Times New Roman"/>
                <w:lang w:eastAsia="it-IT" w:bidi="it-IT"/>
              </w:rPr>
              <w:t>per la selezione delle proposte.</w:t>
            </w:r>
          </w:p>
          <w:p w:rsidR="003A4B30" w:rsidRPr="00F4012A" w:rsidRDefault="003A4B30" w:rsidP="003A4B30">
            <w:pPr>
              <w:spacing w:after="120"/>
              <w:jc w:val="both"/>
              <w:rPr>
                <w:rFonts w:ascii="Times New Roman" w:eastAsia="Century Gothic" w:hAnsi="Times New Roman" w:cs="Times New Roman"/>
                <w:lang w:eastAsia="it-IT" w:bidi="it-IT"/>
              </w:rPr>
            </w:pPr>
            <w:r w:rsidRPr="00F4012A">
              <w:rPr>
                <w:rFonts w:ascii="Times New Roman" w:eastAsia="Century Gothic" w:hAnsi="Times New Roman" w:cs="Times New Roman"/>
                <w:iCs/>
                <w:lang w:eastAsia="it-IT" w:bidi="it-IT"/>
              </w:rPr>
              <w:t>PUNTEGGI</w:t>
            </w:r>
          </w:p>
          <w:p w:rsidR="003A4B30" w:rsidRPr="00A531CE" w:rsidRDefault="003A4B30">
            <w:pPr>
              <w:rPr>
                <w:rFonts w:ascii="Times New Roman" w:eastAsia="Century Gothic" w:hAnsi="Times New Roman" w:cs="Times New Roman"/>
                <w:lang w:eastAsia="it-IT" w:bidi="it-IT"/>
              </w:rPr>
            </w:pPr>
          </w:p>
        </w:tc>
        <w:tc>
          <w:tcPr>
            <w:tcW w:w="7669" w:type="dxa"/>
          </w:tcPr>
          <w:p w:rsidR="00281208" w:rsidRDefault="00281208" w:rsidP="00281208">
            <w:pPr>
              <w:spacing w:after="120"/>
              <w:jc w:val="both"/>
              <w:rPr>
                <w:rFonts w:ascii="Times New Roman" w:eastAsia="Century Gothic" w:hAnsi="Times New Roman" w:cs="Times New Roman"/>
                <w:i/>
                <w:iCs/>
                <w:lang w:eastAsia="it-IT" w:bidi="it-IT"/>
              </w:rPr>
            </w:pPr>
            <w:r w:rsidRPr="00A531CE">
              <w:rPr>
                <w:rFonts w:ascii="Times New Roman" w:eastAsia="Century Gothic" w:hAnsi="Times New Roman" w:cs="Times New Roman"/>
                <w:i/>
                <w:iCs/>
                <w:lang w:eastAsia="it-IT" w:bidi="it-IT"/>
              </w:rPr>
              <w:t>Punto 7 dell’Allegato A) DGR 2609/2019</w:t>
            </w:r>
          </w:p>
          <w:p w:rsidR="00281208" w:rsidRPr="00A531CE" w:rsidRDefault="00281208" w:rsidP="00281208">
            <w:pPr>
              <w:pStyle w:val="Paragrafoelenco"/>
              <w:numPr>
                <w:ilvl w:val="0"/>
                <w:numId w:val="2"/>
              </w:numPr>
              <w:tabs>
                <w:tab w:val="clear" w:pos="720"/>
                <w:tab w:val="num" w:pos="319"/>
              </w:tabs>
              <w:ind w:left="319" w:hanging="284"/>
              <w:contextualSpacing w:val="0"/>
              <w:jc w:val="both"/>
              <w:rPr>
                <w:rFonts w:ascii="Times New Roman" w:eastAsia="Century Gothic" w:hAnsi="Times New Roman" w:cs="Times New Roman"/>
                <w:lang w:eastAsia="it-IT" w:bidi="it-IT"/>
              </w:rPr>
            </w:pPr>
            <w:r w:rsidRPr="00A531CE">
              <w:rPr>
                <w:rFonts w:ascii="Times New Roman" w:eastAsia="Century Gothic" w:hAnsi="Times New Roman" w:cs="Times New Roman"/>
                <w:lang w:eastAsia="it-IT" w:bidi="it-IT"/>
              </w:rPr>
              <w:t>Partecipazione del Capofila all’attuazione della DGR 1114/2018 (punti 15)</w:t>
            </w:r>
          </w:p>
          <w:p w:rsidR="00281208" w:rsidRPr="00A531CE" w:rsidRDefault="00281208" w:rsidP="00281208">
            <w:pPr>
              <w:pStyle w:val="Paragrafoelenco"/>
              <w:numPr>
                <w:ilvl w:val="0"/>
                <w:numId w:val="2"/>
              </w:numPr>
              <w:tabs>
                <w:tab w:val="clear" w:pos="720"/>
                <w:tab w:val="num" w:pos="319"/>
              </w:tabs>
              <w:ind w:left="319" w:hanging="284"/>
              <w:contextualSpacing w:val="0"/>
              <w:jc w:val="both"/>
              <w:rPr>
                <w:rFonts w:ascii="Times New Roman" w:eastAsia="Century Gothic" w:hAnsi="Times New Roman" w:cs="Times New Roman"/>
                <w:lang w:eastAsia="it-IT" w:bidi="it-IT"/>
              </w:rPr>
            </w:pPr>
            <w:r w:rsidRPr="00A531CE">
              <w:rPr>
                <w:rFonts w:ascii="Times New Roman" w:eastAsia="Century Gothic" w:hAnsi="Times New Roman" w:cs="Times New Roman"/>
                <w:lang w:eastAsia="it-IT" w:bidi="it-IT"/>
              </w:rPr>
              <w:t>Presentazione del progetto da parte di un Ambito Distrettuale o di più Ambiti Distrettuali in forma congiunta (punti 10)</w:t>
            </w:r>
          </w:p>
          <w:p w:rsidR="00281208" w:rsidRPr="00A531CE" w:rsidRDefault="00281208" w:rsidP="00281208">
            <w:pPr>
              <w:pStyle w:val="Paragrafoelenco"/>
              <w:numPr>
                <w:ilvl w:val="0"/>
                <w:numId w:val="2"/>
              </w:numPr>
              <w:tabs>
                <w:tab w:val="clear" w:pos="720"/>
                <w:tab w:val="num" w:pos="319"/>
              </w:tabs>
              <w:ind w:hanging="685"/>
              <w:contextualSpacing w:val="0"/>
              <w:jc w:val="both"/>
              <w:rPr>
                <w:rFonts w:ascii="Times New Roman" w:eastAsia="Century Gothic" w:hAnsi="Times New Roman" w:cs="Times New Roman"/>
                <w:lang w:eastAsia="it-IT" w:bidi="it-IT"/>
              </w:rPr>
            </w:pPr>
            <w:r w:rsidRPr="00A531CE">
              <w:rPr>
                <w:rFonts w:ascii="Times New Roman" w:eastAsia="Century Gothic" w:hAnsi="Times New Roman" w:cs="Times New Roman"/>
                <w:lang w:eastAsia="it-IT" w:bidi="it-IT"/>
              </w:rPr>
              <w:t>Adesione al progetto di più di due Ambiti Territoriali (punti 15)</w:t>
            </w:r>
          </w:p>
          <w:p w:rsidR="00281208" w:rsidRPr="00A531CE" w:rsidRDefault="00281208" w:rsidP="00281208">
            <w:pPr>
              <w:pStyle w:val="Paragrafoelenco"/>
              <w:numPr>
                <w:ilvl w:val="0"/>
                <w:numId w:val="2"/>
              </w:numPr>
              <w:tabs>
                <w:tab w:val="clear" w:pos="720"/>
                <w:tab w:val="num" w:pos="319"/>
              </w:tabs>
              <w:ind w:left="319" w:hanging="284"/>
              <w:contextualSpacing w:val="0"/>
              <w:jc w:val="both"/>
              <w:rPr>
                <w:rFonts w:ascii="Times New Roman" w:eastAsia="Century Gothic" w:hAnsi="Times New Roman" w:cs="Times New Roman"/>
                <w:lang w:eastAsia="it-IT" w:bidi="it-IT"/>
              </w:rPr>
            </w:pPr>
            <w:r w:rsidRPr="00A531CE">
              <w:rPr>
                <w:rFonts w:ascii="Times New Roman" w:eastAsia="Century Gothic" w:hAnsi="Times New Roman" w:cs="Times New Roman"/>
                <w:lang w:eastAsia="it-IT" w:bidi="it-IT"/>
              </w:rPr>
              <w:t>Livello di coerenza tra analisi del contesto in cui si colloca la proposta, gli obiettivi specifici previsti, le azioni, le risorse umane e finanziarie, i tempi di realizzazione (punti 5)</w:t>
            </w:r>
          </w:p>
          <w:p w:rsidR="00281208" w:rsidRPr="00A531CE" w:rsidRDefault="00281208" w:rsidP="00281208">
            <w:pPr>
              <w:pStyle w:val="Paragrafoelenco"/>
              <w:numPr>
                <w:ilvl w:val="0"/>
                <w:numId w:val="2"/>
              </w:numPr>
              <w:tabs>
                <w:tab w:val="clear" w:pos="720"/>
                <w:tab w:val="num" w:pos="319"/>
              </w:tabs>
              <w:ind w:left="319" w:hanging="284"/>
              <w:contextualSpacing w:val="0"/>
              <w:jc w:val="both"/>
              <w:rPr>
                <w:rFonts w:ascii="Times New Roman" w:eastAsia="Century Gothic" w:hAnsi="Times New Roman" w:cs="Times New Roman"/>
                <w:lang w:eastAsia="it-IT" w:bidi="it-IT"/>
              </w:rPr>
            </w:pPr>
            <w:r w:rsidRPr="00A531CE">
              <w:rPr>
                <w:rFonts w:ascii="Times New Roman" w:eastAsia="Century Gothic" w:hAnsi="Times New Roman" w:cs="Times New Roman"/>
                <w:lang w:eastAsia="it-IT" w:bidi="it-IT"/>
              </w:rPr>
              <w:t>Presenza nel PDZ dell’Ambito 2018-2020 di obiettivi relativi al GAP e loro livello di declinazione (punti 5)</w:t>
            </w:r>
          </w:p>
          <w:p w:rsidR="00281208" w:rsidRPr="00A531CE" w:rsidRDefault="00281208" w:rsidP="00281208">
            <w:pPr>
              <w:pStyle w:val="Paragrafoelenco"/>
              <w:numPr>
                <w:ilvl w:val="0"/>
                <w:numId w:val="2"/>
              </w:numPr>
              <w:tabs>
                <w:tab w:val="clear" w:pos="720"/>
                <w:tab w:val="num" w:pos="319"/>
              </w:tabs>
              <w:spacing w:line="252" w:lineRule="auto"/>
              <w:ind w:left="319" w:hanging="284"/>
              <w:contextualSpacing w:val="0"/>
              <w:jc w:val="both"/>
              <w:rPr>
                <w:rFonts w:ascii="Times New Roman" w:eastAsia="Century Gothic" w:hAnsi="Times New Roman" w:cs="Times New Roman"/>
                <w:lang w:eastAsia="it-IT" w:bidi="it-IT"/>
              </w:rPr>
            </w:pPr>
            <w:r w:rsidRPr="00A531CE">
              <w:rPr>
                <w:rFonts w:ascii="Times New Roman" w:eastAsia="Century Gothic" w:hAnsi="Times New Roman" w:cs="Times New Roman"/>
                <w:lang w:eastAsia="it-IT" w:bidi="it-IT"/>
              </w:rPr>
              <w:t>Raccordo con gli strumenti di programmazione sociale, socio-sanitaria e sanitaria  (punti 10)</w:t>
            </w:r>
          </w:p>
          <w:p w:rsidR="00281208" w:rsidRPr="00A531CE" w:rsidRDefault="00911629" w:rsidP="00281208">
            <w:pPr>
              <w:pStyle w:val="Paragrafoelenco"/>
              <w:numPr>
                <w:ilvl w:val="0"/>
                <w:numId w:val="2"/>
              </w:numPr>
              <w:tabs>
                <w:tab w:val="clear" w:pos="720"/>
                <w:tab w:val="num" w:pos="319"/>
              </w:tabs>
              <w:spacing w:line="252" w:lineRule="auto"/>
              <w:ind w:left="319" w:hanging="284"/>
              <w:contextualSpacing w:val="0"/>
              <w:jc w:val="both"/>
              <w:rPr>
                <w:rFonts w:ascii="Times New Roman" w:eastAsia="Century Gothic" w:hAnsi="Times New Roman" w:cs="Times New Roman"/>
                <w:lang w:eastAsia="it-IT" w:bidi="it-IT"/>
              </w:rPr>
            </w:pPr>
            <w:r w:rsidRPr="00A531CE">
              <w:rPr>
                <w:rFonts w:ascii="Times New Roman" w:eastAsia="Century Gothic" w:hAnsi="Times New Roman" w:cs="Times New Roman"/>
                <w:lang w:eastAsia="it-IT" w:bidi="it-IT"/>
              </w:rPr>
              <w:t xml:space="preserve">Destinazione </w:t>
            </w:r>
            <w:r w:rsidR="00281208" w:rsidRPr="00A531CE">
              <w:rPr>
                <w:rFonts w:ascii="Times New Roman" w:eastAsia="Century Gothic" w:hAnsi="Times New Roman" w:cs="Times New Roman"/>
                <w:lang w:eastAsia="it-IT" w:bidi="it-IT"/>
              </w:rPr>
              <w:t xml:space="preserve">del 15% del finanziamento per </w:t>
            </w:r>
            <w:r w:rsidRPr="00A531CE">
              <w:rPr>
                <w:rFonts w:ascii="Times New Roman" w:eastAsia="Century Gothic" w:hAnsi="Times New Roman" w:cs="Times New Roman"/>
                <w:lang w:eastAsia="it-IT" w:bidi="it-IT"/>
              </w:rPr>
              <w:t xml:space="preserve">attività di </w:t>
            </w:r>
            <w:r w:rsidR="00281208" w:rsidRPr="00A531CE">
              <w:rPr>
                <w:rFonts w:ascii="Times New Roman" w:eastAsia="Century Gothic" w:hAnsi="Times New Roman" w:cs="Times New Roman"/>
                <w:lang w:eastAsia="it-IT" w:bidi="it-IT"/>
              </w:rPr>
              <w:t>ricerca</w:t>
            </w:r>
            <w:r w:rsidRPr="00A531CE">
              <w:rPr>
                <w:rFonts w:ascii="Times New Roman" w:eastAsia="Century Gothic" w:hAnsi="Times New Roman" w:cs="Times New Roman"/>
                <w:lang w:eastAsia="it-IT" w:bidi="it-IT"/>
              </w:rPr>
              <w:t>-azione con l’affiancamento di Università</w:t>
            </w:r>
            <w:r w:rsidR="00281208" w:rsidRPr="00A531CE">
              <w:rPr>
                <w:rFonts w:ascii="Times New Roman" w:eastAsia="Century Gothic" w:hAnsi="Times New Roman" w:cs="Times New Roman"/>
                <w:lang w:eastAsia="it-IT" w:bidi="it-IT"/>
              </w:rPr>
              <w:t xml:space="preserve"> </w:t>
            </w:r>
            <w:r w:rsidRPr="00A531CE">
              <w:rPr>
                <w:rFonts w:ascii="Times New Roman" w:eastAsia="Century Gothic" w:hAnsi="Times New Roman" w:cs="Times New Roman"/>
                <w:lang w:eastAsia="it-IT" w:bidi="it-IT"/>
              </w:rPr>
              <w:t xml:space="preserve">e/o Enti di ricerca, in particolare sul fenomeno dei giochi on-line e su forme innovative per il suo contrasto </w:t>
            </w:r>
            <w:r w:rsidR="00281208" w:rsidRPr="00A531CE">
              <w:rPr>
                <w:rFonts w:ascii="Times New Roman" w:eastAsia="Century Gothic" w:hAnsi="Times New Roman" w:cs="Times New Roman"/>
                <w:lang w:eastAsia="it-IT" w:bidi="it-IT"/>
              </w:rPr>
              <w:t>da definire in stretta collab</w:t>
            </w:r>
            <w:r w:rsidRPr="00A531CE">
              <w:rPr>
                <w:rFonts w:ascii="Times New Roman" w:eastAsia="Century Gothic" w:hAnsi="Times New Roman" w:cs="Times New Roman"/>
                <w:lang w:eastAsia="it-IT" w:bidi="it-IT"/>
              </w:rPr>
              <w:t>orazione con ATS Brianza - setting scuola</w:t>
            </w:r>
            <w:r w:rsidR="00281208" w:rsidRPr="00A531CE">
              <w:rPr>
                <w:rFonts w:ascii="Times New Roman" w:eastAsia="Century Gothic" w:hAnsi="Times New Roman" w:cs="Times New Roman"/>
                <w:lang w:eastAsia="it-IT" w:bidi="it-IT"/>
              </w:rPr>
              <w:t xml:space="preserve"> (punti 10)</w:t>
            </w:r>
          </w:p>
          <w:p w:rsidR="00911629" w:rsidRPr="00A531CE" w:rsidRDefault="00911629" w:rsidP="00911629">
            <w:pPr>
              <w:pStyle w:val="Paragrafoelenco"/>
              <w:numPr>
                <w:ilvl w:val="0"/>
                <w:numId w:val="2"/>
              </w:numPr>
              <w:tabs>
                <w:tab w:val="clear" w:pos="720"/>
                <w:tab w:val="num" w:pos="319"/>
              </w:tabs>
              <w:spacing w:line="252" w:lineRule="auto"/>
              <w:ind w:left="319" w:hanging="284"/>
              <w:contextualSpacing w:val="0"/>
              <w:jc w:val="both"/>
              <w:rPr>
                <w:rFonts w:ascii="Times New Roman" w:eastAsia="Century Gothic" w:hAnsi="Times New Roman" w:cs="Times New Roman"/>
                <w:lang w:eastAsia="it-IT" w:bidi="it-IT"/>
              </w:rPr>
            </w:pPr>
            <w:r w:rsidRPr="00A531CE">
              <w:rPr>
                <w:rFonts w:ascii="Times New Roman" w:eastAsia="Century Gothic" w:hAnsi="Times New Roman" w:cs="Times New Roman"/>
                <w:lang w:eastAsia="it-IT" w:bidi="it-IT"/>
              </w:rPr>
              <w:lastRenderedPageBreak/>
              <w:t xml:space="preserve">Destinazione di una quota di </w:t>
            </w:r>
            <w:r w:rsidR="00281208" w:rsidRPr="00A531CE">
              <w:rPr>
                <w:rFonts w:ascii="Times New Roman" w:eastAsia="Century Gothic" w:hAnsi="Times New Roman" w:cs="Times New Roman"/>
                <w:lang w:eastAsia="it-IT" w:bidi="it-IT"/>
              </w:rPr>
              <w:t xml:space="preserve">finanziamento finalizzata all’inclusione delle azioni degli </w:t>
            </w:r>
            <w:r w:rsidRPr="00A531CE">
              <w:rPr>
                <w:rFonts w:ascii="Times New Roman" w:eastAsia="Century Gothic" w:hAnsi="Times New Roman" w:cs="Times New Roman"/>
                <w:lang w:eastAsia="it-IT" w:bidi="it-IT"/>
              </w:rPr>
              <w:t>O</w:t>
            </w:r>
            <w:r w:rsidR="00281208" w:rsidRPr="00A531CE">
              <w:rPr>
                <w:rFonts w:ascii="Times New Roman" w:eastAsia="Century Gothic" w:hAnsi="Times New Roman" w:cs="Times New Roman"/>
                <w:lang w:eastAsia="it-IT" w:bidi="it-IT"/>
              </w:rPr>
              <w:t xml:space="preserve">sservatori </w:t>
            </w:r>
            <w:r w:rsidRPr="00A531CE">
              <w:rPr>
                <w:rFonts w:ascii="Times New Roman" w:eastAsia="Century Gothic" w:hAnsi="Times New Roman" w:cs="Times New Roman"/>
                <w:lang w:eastAsia="it-IT" w:bidi="it-IT"/>
              </w:rPr>
              <w:t>P</w:t>
            </w:r>
            <w:r w:rsidR="00281208" w:rsidRPr="00A531CE">
              <w:rPr>
                <w:rFonts w:ascii="Times New Roman" w:eastAsia="Century Gothic" w:hAnsi="Times New Roman" w:cs="Times New Roman"/>
                <w:lang w:eastAsia="it-IT" w:bidi="it-IT"/>
              </w:rPr>
              <w:t xml:space="preserve">rovinciali </w:t>
            </w:r>
            <w:r w:rsidRPr="00A531CE">
              <w:rPr>
                <w:rFonts w:ascii="Times New Roman" w:eastAsia="Century Gothic" w:hAnsi="Times New Roman" w:cs="Times New Roman"/>
                <w:lang w:eastAsia="it-IT" w:bidi="it-IT"/>
              </w:rPr>
              <w:t>S</w:t>
            </w:r>
            <w:r w:rsidR="00281208" w:rsidRPr="00A531CE">
              <w:rPr>
                <w:rFonts w:ascii="Times New Roman" w:eastAsia="Century Gothic" w:hAnsi="Times New Roman" w:cs="Times New Roman"/>
                <w:lang w:eastAsia="it-IT" w:bidi="it-IT"/>
              </w:rPr>
              <w:t xml:space="preserve">colastici (convenzione RL-USR) da definire in stretta collaborazione con ATS </w:t>
            </w:r>
            <w:r w:rsidRPr="00A531CE">
              <w:rPr>
                <w:rFonts w:ascii="Times New Roman" w:eastAsia="Century Gothic" w:hAnsi="Times New Roman" w:cs="Times New Roman"/>
                <w:lang w:eastAsia="it-IT" w:bidi="it-IT"/>
              </w:rPr>
              <w:t>Brianza - setting scuola</w:t>
            </w:r>
            <w:r w:rsidR="00281208" w:rsidRPr="00A531CE">
              <w:rPr>
                <w:rFonts w:ascii="Times New Roman" w:eastAsia="Century Gothic" w:hAnsi="Times New Roman" w:cs="Times New Roman"/>
                <w:lang w:eastAsia="it-IT" w:bidi="it-IT"/>
              </w:rPr>
              <w:t xml:space="preserve"> (punti 10)</w:t>
            </w:r>
          </w:p>
          <w:p w:rsidR="00281208" w:rsidRPr="00A531CE" w:rsidRDefault="00281208" w:rsidP="00911629">
            <w:pPr>
              <w:pStyle w:val="Paragrafoelenco"/>
              <w:numPr>
                <w:ilvl w:val="0"/>
                <w:numId w:val="2"/>
              </w:numPr>
              <w:tabs>
                <w:tab w:val="clear" w:pos="720"/>
                <w:tab w:val="num" w:pos="319"/>
              </w:tabs>
              <w:spacing w:line="252" w:lineRule="auto"/>
              <w:ind w:left="319" w:hanging="284"/>
              <w:contextualSpacing w:val="0"/>
              <w:jc w:val="both"/>
              <w:rPr>
                <w:rFonts w:ascii="Times New Roman" w:eastAsia="Century Gothic" w:hAnsi="Times New Roman" w:cs="Times New Roman"/>
                <w:lang w:eastAsia="it-IT" w:bidi="it-IT"/>
              </w:rPr>
            </w:pPr>
            <w:r w:rsidRPr="00A531CE">
              <w:rPr>
                <w:rFonts w:ascii="Times New Roman" w:eastAsia="Century Gothic" w:hAnsi="Times New Roman" w:cs="Times New Roman"/>
                <w:lang w:eastAsia="it-IT" w:bidi="it-IT"/>
              </w:rPr>
              <w:t>Cofinanziamento con risorse autonome (punti 10)</w:t>
            </w:r>
          </w:p>
          <w:p w:rsidR="00281208" w:rsidRPr="00A531CE" w:rsidRDefault="00281208" w:rsidP="00281208">
            <w:pPr>
              <w:pStyle w:val="Paragrafoelenco"/>
              <w:numPr>
                <w:ilvl w:val="0"/>
                <w:numId w:val="2"/>
              </w:numPr>
              <w:tabs>
                <w:tab w:val="clear" w:pos="720"/>
                <w:tab w:val="num" w:pos="319"/>
              </w:tabs>
              <w:ind w:left="319" w:hanging="284"/>
              <w:contextualSpacing w:val="0"/>
              <w:jc w:val="both"/>
              <w:rPr>
                <w:rFonts w:ascii="Times New Roman" w:eastAsia="Century Gothic" w:hAnsi="Times New Roman" w:cs="Times New Roman"/>
                <w:lang w:eastAsia="it-IT" w:bidi="it-IT"/>
              </w:rPr>
            </w:pPr>
            <w:r w:rsidRPr="00A531CE">
              <w:rPr>
                <w:rFonts w:ascii="Times New Roman" w:eastAsia="Century Gothic" w:hAnsi="Times New Roman" w:cs="Times New Roman"/>
                <w:lang w:eastAsia="it-IT" w:bidi="it-IT"/>
              </w:rPr>
              <w:t>Indicazioni in merito alla sostenibilità nel tempo e alla stabilizzazione del modello, anche con la previsione di risorse dedicate nel periodo successivo alla conclusione (punti 10)</w:t>
            </w:r>
          </w:p>
          <w:p w:rsidR="00A531CE" w:rsidRPr="00A531CE" w:rsidRDefault="00A531CE" w:rsidP="00A531CE">
            <w:pPr>
              <w:tabs>
                <w:tab w:val="num" w:pos="319"/>
              </w:tabs>
              <w:jc w:val="both"/>
              <w:rPr>
                <w:rFonts w:ascii="Times New Roman" w:eastAsia="Century Gothic" w:hAnsi="Times New Roman" w:cs="Times New Roman"/>
                <w:lang w:eastAsia="it-IT" w:bidi="it-IT"/>
              </w:rPr>
            </w:pPr>
          </w:p>
          <w:p w:rsidR="00A531CE" w:rsidRPr="00A531CE" w:rsidRDefault="00A531CE" w:rsidP="00A531CE">
            <w:pPr>
              <w:spacing w:after="120"/>
              <w:ind w:left="34"/>
              <w:jc w:val="both"/>
              <w:rPr>
                <w:rFonts w:ascii="Times New Roman" w:eastAsia="Century Gothic" w:hAnsi="Times New Roman" w:cs="Times New Roman"/>
                <w:lang w:eastAsia="it-IT" w:bidi="it-IT"/>
              </w:rPr>
            </w:pPr>
            <w:r w:rsidRPr="00A531CE">
              <w:rPr>
                <w:rFonts w:ascii="Times New Roman" w:eastAsia="Century Gothic" w:hAnsi="Times New Roman" w:cs="Times New Roman"/>
                <w:lang w:eastAsia="it-IT" w:bidi="it-IT"/>
              </w:rPr>
              <w:t>Le proposte saranno esaminate da una commissione di valutazione istituita dall’ATS Brianza secondo le indicazioni dell’Allegato A) alla DGR 2609/2019.</w:t>
            </w:r>
          </w:p>
          <w:p w:rsidR="00A531CE" w:rsidRPr="00A531CE" w:rsidRDefault="00A531CE" w:rsidP="00A531CE">
            <w:pPr>
              <w:spacing w:after="120"/>
              <w:ind w:left="34"/>
              <w:jc w:val="both"/>
              <w:rPr>
                <w:rFonts w:ascii="Times New Roman" w:eastAsia="Century Gothic" w:hAnsi="Times New Roman" w:cs="Times New Roman"/>
                <w:lang w:eastAsia="it-IT" w:bidi="it-IT"/>
              </w:rPr>
            </w:pPr>
            <w:r w:rsidRPr="00A531CE">
              <w:rPr>
                <w:rFonts w:ascii="Times New Roman" w:eastAsia="Century Gothic" w:hAnsi="Times New Roman" w:cs="Times New Roman"/>
                <w:lang w:eastAsia="it-IT" w:bidi="it-IT"/>
              </w:rPr>
              <w:t xml:space="preserve">L’ATS Brianza, sulla base degli esiti della commissione di valutazione, approverà la graduatoria delle proposte ammesse, con un elenco delle proposte pervenute, di quelle ammesse e di quelle ammesse finanziate in relazione al punteggio ottenuto e budget a disposizione. </w:t>
            </w:r>
          </w:p>
          <w:p w:rsidR="00022CB5" w:rsidRPr="00A531CE" w:rsidRDefault="00A531CE" w:rsidP="00A531CE">
            <w:pPr>
              <w:spacing w:after="60" w:line="252" w:lineRule="auto"/>
              <w:jc w:val="both"/>
              <w:rPr>
                <w:rFonts w:ascii="Times New Roman" w:hAnsi="Times New Roman" w:cs="Times New Roman"/>
              </w:rPr>
            </w:pPr>
            <w:r w:rsidRPr="00A531CE">
              <w:rPr>
                <w:rFonts w:ascii="Times New Roman" w:eastAsia="Century Gothic" w:hAnsi="Times New Roman" w:cs="Times New Roman"/>
                <w:lang w:eastAsia="it-IT" w:bidi="it-IT"/>
              </w:rPr>
              <w:t>Per favorire la più ampia diffusione territoriale, nel caso di progetti ammissibili con richiesta complessiva di contributo superiore alla dotazione disponibile per ATS, si potrà procedere alla rimodulazione del contributo richiesto, fino ad un massimo del 20%.</w:t>
            </w:r>
          </w:p>
        </w:tc>
      </w:tr>
      <w:tr w:rsidR="00014A75" w:rsidRPr="00A531CE" w:rsidTr="005E27C6">
        <w:tc>
          <w:tcPr>
            <w:tcW w:w="1959" w:type="dxa"/>
          </w:tcPr>
          <w:p w:rsidR="00014A75" w:rsidRPr="00A531CE" w:rsidRDefault="00014A75">
            <w:pPr>
              <w:rPr>
                <w:rFonts w:ascii="Times New Roman" w:eastAsia="Century Gothic" w:hAnsi="Times New Roman" w:cs="Times New Roman"/>
                <w:lang w:eastAsia="it-IT" w:bidi="it-IT"/>
              </w:rPr>
            </w:pPr>
          </w:p>
        </w:tc>
        <w:tc>
          <w:tcPr>
            <w:tcW w:w="7669" w:type="dxa"/>
          </w:tcPr>
          <w:p w:rsidR="00AA2F94" w:rsidRPr="00A531CE" w:rsidRDefault="00AA2F94" w:rsidP="001A70A2">
            <w:pPr>
              <w:spacing w:after="120"/>
              <w:jc w:val="both"/>
              <w:rPr>
                <w:rFonts w:ascii="Times New Roman" w:eastAsia="Century Gothic" w:hAnsi="Times New Roman" w:cs="Times New Roman"/>
                <w:lang w:eastAsia="it-IT" w:bidi="it-IT"/>
              </w:rPr>
            </w:pPr>
            <w:r w:rsidRPr="00A531CE">
              <w:rPr>
                <w:rFonts w:ascii="Times New Roman" w:eastAsia="Century Gothic" w:hAnsi="Times New Roman" w:cs="Times New Roman"/>
                <w:lang w:eastAsia="it-IT" w:bidi="it-IT"/>
              </w:rPr>
              <w:t>Le manifestazioni di interesse dovranno pervenire al seguente indirizzo:</w:t>
            </w:r>
          </w:p>
          <w:p w:rsidR="00AA2F94" w:rsidRPr="00A531CE" w:rsidRDefault="00CE189E" w:rsidP="001A70A2">
            <w:pPr>
              <w:spacing w:after="120"/>
              <w:jc w:val="both"/>
              <w:rPr>
                <w:rFonts w:ascii="Times New Roman" w:eastAsia="Century Gothic" w:hAnsi="Times New Roman" w:cs="Times New Roman"/>
                <w:b/>
                <w:sz w:val="28"/>
                <w:szCs w:val="28"/>
                <w:lang w:eastAsia="it-IT" w:bidi="it-IT"/>
              </w:rPr>
            </w:pPr>
            <w:hyperlink r:id="rId7" w:history="1">
              <w:r w:rsidR="00AA2F94" w:rsidRPr="00A531CE">
                <w:rPr>
                  <w:rStyle w:val="Collegamentoipertestuale"/>
                  <w:rFonts w:ascii="Times New Roman" w:eastAsia="Century Gothic" w:hAnsi="Times New Roman" w:cs="Times New Roman"/>
                  <w:b/>
                  <w:color w:val="auto"/>
                  <w:sz w:val="28"/>
                  <w:szCs w:val="28"/>
                  <w:lang w:eastAsia="it-IT" w:bidi="it-IT"/>
                </w:rPr>
                <w:t>protocollo@pec.ats-brianza.it</w:t>
              </w:r>
            </w:hyperlink>
          </w:p>
          <w:p w:rsidR="00AA2F94" w:rsidRPr="00A531CE" w:rsidRDefault="00AA2F94" w:rsidP="001A70A2">
            <w:pPr>
              <w:spacing w:after="120"/>
              <w:jc w:val="both"/>
              <w:rPr>
                <w:rFonts w:ascii="Times New Roman" w:eastAsia="Century Gothic" w:hAnsi="Times New Roman" w:cs="Times New Roman"/>
                <w:b/>
                <w:sz w:val="28"/>
                <w:szCs w:val="28"/>
                <w:lang w:eastAsia="it-IT" w:bidi="it-IT"/>
              </w:rPr>
            </w:pPr>
            <w:r w:rsidRPr="00A531CE">
              <w:rPr>
                <w:rFonts w:ascii="Times New Roman" w:eastAsia="Century Gothic" w:hAnsi="Times New Roman" w:cs="Times New Roman"/>
                <w:sz w:val="28"/>
                <w:szCs w:val="28"/>
                <w:lang w:eastAsia="it-IT" w:bidi="it-IT"/>
              </w:rPr>
              <w:t>a partire dal</w:t>
            </w:r>
            <w:r w:rsidRPr="00A531CE">
              <w:rPr>
                <w:rFonts w:ascii="Times New Roman" w:eastAsia="Century Gothic" w:hAnsi="Times New Roman" w:cs="Times New Roman"/>
                <w:b/>
                <w:sz w:val="28"/>
                <w:szCs w:val="28"/>
                <w:lang w:eastAsia="it-IT" w:bidi="it-IT"/>
              </w:rPr>
              <w:t xml:space="preserve"> </w:t>
            </w:r>
            <w:r w:rsidR="00CE189E" w:rsidRPr="00CE189E">
              <w:rPr>
                <w:rFonts w:ascii="Times New Roman" w:eastAsia="Century Gothic" w:hAnsi="Times New Roman" w:cs="Times New Roman"/>
                <w:b/>
                <w:sz w:val="30"/>
                <w:szCs w:val="30"/>
                <w:lang w:eastAsia="it-IT" w:bidi="it-IT"/>
              </w:rPr>
              <w:t>28/5/2020</w:t>
            </w:r>
            <w:r w:rsidR="00A913D6">
              <w:rPr>
                <w:rFonts w:ascii="Times New Roman" w:eastAsia="Century Gothic" w:hAnsi="Times New Roman" w:cs="Times New Roman"/>
                <w:b/>
                <w:sz w:val="28"/>
                <w:szCs w:val="28"/>
                <w:lang w:eastAsia="it-IT" w:bidi="it-IT"/>
              </w:rPr>
              <w:t xml:space="preserve"> </w:t>
            </w:r>
            <w:r w:rsidRPr="00A531CE">
              <w:rPr>
                <w:rFonts w:ascii="Times New Roman" w:eastAsia="Century Gothic" w:hAnsi="Times New Roman" w:cs="Times New Roman"/>
                <w:sz w:val="28"/>
                <w:szCs w:val="28"/>
                <w:lang w:eastAsia="it-IT" w:bidi="it-IT"/>
              </w:rPr>
              <w:t xml:space="preserve">sino alle ore 12.00 </w:t>
            </w:r>
            <w:r w:rsidR="0048289F" w:rsidRPr="00A531CE">
              <w:rPr>
                <w:rFonts w:ascii="Times New Roman" w:eastAsia="Century Gothic" w:hAnsi="Times New Roman" w:cs="Times New Roman"/>
                <w:sz w:val="28"/>
                <w:szCs w:val="28"/>
                <w:lang w:eastAsia="it-IT" w:bidi="it-IT"/>
              </w:rPr>
              <w:t xml:space="preserve"> del</w:t>
            </w:r>
            <w:r w:rsidR="0048289F" w:rsidRPr="00A531CE">
              <w:rPr>
                <w:rFonts w:ascii="Times New Roman" w:eastAsia="Century Gothic" w:hAnsi="Times New Roman" w:cs="Times New Roman"/>
                <w:b/>
                <w:sz w:val="28"/>
                <w:szCs w:val="28"/>
                <w:lang w:eastAsia="it-IT" w:bidi="it-IT"/>
              </w:rPr>
              <w:t xml:space="preserve"> </w:t>
            </w:r>
            <w:r w:rsidR="00CE189E">
              <w:rPr>
                <w:rFonts w:ascii="Times New Roman" w:eastAsia="Century Gothic" w:hAnsi="Times New Roman" w:cs="Times New Roman"/>
                <w:b/>
                <w:sz w:val="30"/>
                <w:szCs w:val="30"/>
                <w:lang w:eastAsia="it-IT" w:bidi="it-IT"/>
              </w:rPr>
              <w:t>12/6/2020</w:t>
            </w:r>
            <w:bookmarkStart w:id="4" w:name="_GoBack"/>
            <w:bookmarkEnd w:id="4"/>
          </w:p>
          <w:p w:rsidR="00014A75" w:rsidRPr="00A531CE" w:rsidRDefault="0048289F" w:rsidP="001A70A2">
            <w:pPr>
              <w:spacing w:after="120"/>
              <w:jc w:val="both"/>
              <w:rPr>
                <w:rFonts w:ascii="Times New Roman" w:eastAsia="Century Gothic" w:hAnsi="Times New Roman" w:cs="Times New Roman"/>
                <w:lang w:eastAsia="it-IT" w:bidi="it-IT"/>
              </w:rPr>
            </w:pPr>
            <w:r w:rsidRPr="00A531CE">
              <w:rPr>
                <w:rFonts w:ascii="Times New Roman" w:eastAsia="Century Gothic" w:hAnsi="Times New Roman" w:cs="Times New Roman"/>
                <w:lang w:eastAsia="it-IT" w:bidi="it-IT"/>
              </w:rPr>
              <w:t>Allegati:</w:t>
            </w:r>
          </w:p>
          <w:p w:rsidR="0048289F" w:rsidRPr="00A531CE" w:rsidRDefault="0048289F" w:rsidP="0048289F">
            <w:pPr>
              <w:pStyle w:val="Paragrafoelenco"/>
              <w:numPr>
                <w:ilvl w:val="1"/>
                <w:numId w:val="9"/>
              </w:numPr>
              <w:tabs>
                <w:tab w:val="clear" w:pos="1440"/>
                <w:tab w:val="num" w:pos="593"/>
              </w:tabs>
              <w:spacing w:after="120"/>
              <w:ind w:hanging="1131"/>
              <w:jc w:val="both"/>
              <w:rPr>
                <w:rFonts w:ascii="Times New Roman" w:eastAsia="Century Gothic" w:hAnsi="Times New Roman" w:cs="Times New Roman"/>
                <w:lang w:eastAsia="it-IT" w:bidi="it-IT"/>
              </w:rPr>
            </w:pPr>
            <w:r w:rsidRPr="00A531CE">
              <w:rPr>
                <w:rFonts w:ascii="Times New Roman" w:eastAsia="Century Gothic" w:hAnsi="Times New Roman" w:cs="Times New Roman"/>
                <w:lang w:eastAsia="it-IT" w:bidi="it-IT"/>
              </w:rPr>
              <w:t>Facsimile di domanda e presentaz</w:t>
            </w:r>
            <w:r w:rsidR="009D1E8F" w:rsidRPr="00A531CE">
              <w:rPr>
                <w:rFonts w:ascii="Times New Roman" w:eastAsia="Century Gothic" w:hAnsi="Times New Roman" w:cs="Times New Roman"/>
                <w:lang w:eastAsia="it-IT" w:bidi="it-IT"/>
              </w:rPr>
              <w:t>ione d</w:t>
            </w:r>
            <w:r w:rsidRPr="00A531CE">
              <w:rPr>
                <w:rFonts w:ascii="Times New Roman" w:eastAsia="Century Gothic" w:hAnsi="Times New Roman" w:cs="Times New Roman"/>
                <w:lang w:eastAsia="it-IT" w:bidi="it-IT"/>
              </w:rPr>
              <w:t>e</w:t>
            </w:r>
            <w:r w:rsidR="009D1E8F" w:rsidRPr="00A531CE">
              <w:rPr>
                <w:rFonts w:ascii="Times New Roman" w:eastAsia="Century Gothic" w:hAnsi="Times New Roman" w:cs="Times New Roman"/>
                <w:lang w:eastAsia="it-IT" w:bidi="it-IT"/>
              </w:rPr>
              <w:t>l</w:t>
            </w:r>
            <w:r w:rsidRPr="00A531CE">
              <w:rPr>
                <w:rFonts w:ascii="Times New Roman" w:eastAsia="Century Gothic" w:hAnsi="Times New Roman" w:cs="Times New Roman"/>
                <w:lang w:eastAsia="it-IT" w:bidi="it-IT"/>
              </w:rPr>
              <w:t xml:space="preserve"> progetto</w:t>
            </w:r>
          </w:p>
          <w:p w:rsidR="009D1E8F" w:rsidRPr="00A531CE" w:rsidRDefault="009D1E8F" w:rsidP="0048289F">
            <w:pPr>
              <w:pStyle w:val="Paragrafoelenco"/>
              <w:numPr>
                <w:ilvl w:val="1"/>
                <w:numId w:val="9"/>
              </w:numPr>
              <w:tabs>
                <w:tab w:val="clear" w:pos="1440"/>
                <w:tab w:val="num" w:pos="593"/>
              </w:tabs>
              <w:spacing w:after="120"/>
              <w:ind w:hanging="1131"/>
              <w:jc w:val="both"/>
              <w:rPr>
                <w:rFonts w:ascii="Times New Roman" w:eastAsia="Century Gothic" w:hAnsi="Times New Roman" w:cs="Times New Roman"/>
                <w:lang w:eastAsia="it-IT" w:bidi="it-IT"/>
              </w:rPr>
            </w:pPr>
            <w:r w:rsidRPr="00A531CE">
              <w:rPr>
                <w:rFonts w:ascii="Times New Roman" w:eastAsia="Century Gothic" w:hAnsi="Times New Roman" w:cs="Times New Roman"/>
                <w:lang w:eastAsia="it-IT" w:bidi="it-IT"/>
              </w:rPr>
              <w:t>Schema piano dei costi</w:t>
            </w:r>
          </w:p>
          <w:p w:rsidR="009D1E8F" w:rsidRPr="00A531CE" w:rsidRDefault="009D1E8F" w:rsidP="0048289F">
            <w:pPr>
              <w:pStyle w:val="Paragrafoelenco"/>
              <w:numPr>
                <w:ilvl w:val="1"/>
                <w:numId w:val="9"/>
              </w:numPr>
              <w:tabs>
                <w:tab w:val="clear" w:pos="1440"/>
                <w:tab w:val="num" w:pos="593"/>
              </w:tabs>
              <w:spacing w:after="120"/>
              <w:ind w:hanging="1131"/>
              <w:jc w:val="both"/>
              <w:rPr>
                <w:rFonts w:ascii="Times New Roman" w:eastAsia="Century Gothic" w:hAnsi="Times New Roman" w:cs="Times New Roman"/>
                <w:lang w:eastAsia="it-IT" w:bidi="it-IT"/>
              </w:rPr>
            </w:pPr>
            <w:r w:rsidRPr="00A531CE">
              <w:rPr>
                <w:rFonts w:ascii="Times New Roman" w:eastAsia="Century Gothic" w:hAnsi="Times New Roman" w:cs="Times New Roman"/>
                <w:lang w:eastAsia="it-IT" w:bidi="it-IT"/>
              </w:rPr>
              <w:t>Schema di convenzione operativa approvato da ATS Brianza</w:t>
            </w:r>
          </w:p>
          <w:p w:rsidR="00D26C91" w:rsidRPr="00A531CE" w:rsidRDefault="00281208" w:rsidP="001A70A2">
            <w:pPr>
              <w:spacing w:after="120"/>
              <w:jc w:val="both"/>
              <w:rPr>
                <w:rFonts w:ascii="Times New Roman" w:eastAsia="Century Gothic" w:hAnsi="Times New Roman" w:cs="Times New Roman"/>
                <w:lang w:eastAsia="it-IT" w:bidi="it-IT"/>
              </w:rPr>
            </w:pPr>
            <w:r w:rsidRPr="00A531CE">
              <w:rPr>
                <w:rFonts w:ascii="Times New Roman" w:eastAsia="Century Gothic" w:hAnsi="Times New Roman" w:cs="Times New Roman"/>
                <w:lang w:eastAsia="it-IT" w:bidi="it-IT"/>
              </w:rPr>
              <w:t>Si ricorda che n</w:t>
            </w:r>
            <w:r w:rsidR="00D26C91" w:rsidRPr="00A531CE">
              <w:rPr>
                <w:rFonts w:ascii="Times New Roman" w:eastAsia="Century Gothic" w:hAnsi="Times New Roman" w:cs="Times New Roman"/>
                <w:lang w:eastAsia="it-IT" w:bidi="it-IT"/>
              </w:rPr>
              <w:t xml:space="preserve">ella </w:t>
            </w:r>
            <w:r w:rsidRPr="00A531CE">
              <w:rPr>
                <w:rFonts w:ascii="Times New Roman" w:eastAsia="Century Gothic" w:hAnsi="Times New Roman" w:cs="Times New Roman"/>
                <w:lang w:eastAsia="it-IT" w:bidi="it-IT"/>
              </w:rPr>
              <w:t>proposta l’Ente dichiara</w:t>
            </w:r>
            <w:r w:rsidR="009504DD" w:rsidRPr="00A531CE">
              <w:rPr>
                <w:rFonts w:ascii="Times New Roman" w:eastAsia="Century Gothic" w:hAnsi="Times New Roman" w:cs="Times New Roman"/>
                <w:lang w:eastAsia="it-IT" w:bidi="it-IT"/>
              </w:rPr>
              <w:t xml:space="preserve"> </w:t>
            </w:r>
            <w:r w:rsidRPr="00A531CE">
              <w:rPr>
                <w:rFonts w:ascii="Times New Roman" w:eastAsia="Century Gothic" w:hAnsi="Times New Roman" w:cs="Times New Roman"/>
                <w:lang w:eastAsia="it-IT" w:bidi="it-IT"/>
              </w:rPr>
              <w:t xml:space="preserve">la presa visione dello schema di convenzione operativa e </w:t>
            </w:r>
            <w:r w:rsidR="00D26C91" w:rsidRPr="00A531CE">
              <w:rPr>
                <w:rFonts w:ascii="Times New Roman" w:eastAsia="Century Gothic" w:hAnsi="Times New Roman" w:cs="Times New Roman"/>
                <w:lang w:eastAsia="it-IT" w:bidi="it-IT"/>
              </w:rPr>
              <w:t>l’impegno alla sua sottoscrizione nel caso di ammissione al finanziamento</w:t>
            </w:r>
            <w:r w:rsidRPr="00A531CE">
              <w:rPr>
                <w:rFonts w:ascii="Times New Roman" w:eastAsia="Century Gothic" w:hAnsi="Times New Roman" w:cs="Times New Roman"/>
                <w:lang w:eastAsia="it-IT" w:bidi="it-IT"/>
              </w:rPr>
              <w:t>.</w:t>
            </w:r>
          </w:p>
          <w:p w:rsidR="002B7C33" w:rsidRPr="00A531CE" w:rsidRDefault="002B7C33" w:rsidP="002643EF">
            <w:pPr>
              <w:spacing w:after="120"/>
              <w:jc w:val="both"/>
              <w:rPr>
                <w:rFonts w:ascii="Times New Roman" w:hAnsi="Times New Roman" w:cs="Times New Roman"/>
              </w:rPr>
            </w:pPr>
            <w:r w:rsidRPr="00A531CE">
              <w:rPr>
                <w:rFonts w:ascii="Times New Roman" w:eastAsia="Century Gothic" w:hAnsi="Times New Roman" w:cs="Times New Roman"/>
                <w:lang w:eastAsia="it-IT" w:bidi="it-IT"/>
              </w:rPr>
              <w:t>La proposta da inviare all’ATS dovrà essere approvata in sede di Conferenza di Rappresentanza dei Sindaci</w:t>
            </w:r>
          </w:p>
        </w:tc>
      </w:tr>
      <w:tr w:rsidR="00014A75" w:rsidRPr="009D2487" w:rsidTr="005E27C6">
        <w:trPr>
          <w:trHeight w:val="1291"/>
        </w:trPr>
        <w:tc>
          <w:tcPr>
            <w:tcW w:w="1959" w:type="dxa"/>
          </w:tcPr>
          <w:p w:rsidR="00014A75" w:rsidRPr="009D2487" w:rsidRDefault="005A49A9">
            <w:pPr>
              <w:rPr>
                <w:rFonts w:ascii="Times New Roman" w:hAnsi="Times New Roman" w:cs="Times New Roman"/>
              </w:rPr>
            </w:pPr>
            <w:r w:rsidRPr="009D2487">
              <w:rPr>
                <w:rFonts w:ascii="Times New Roman" w:eastAsia="Century Gothic" w:hAnsi="Times New Roman" w:cs="Times New Roman"/>
                <w:lang w:eastAsia="it-IT" w:bidi="it-IT"/>
              </w:rPr>
              <w:t>Elementi che devono essere contenuti nella proposta</w:t>
            </w:r>
            <w:r w:rsidRPr="009D2487">
              <w:rPr>
                <w:rFonts w:ascii="Times New Roman" w:hAnsi="Times New Roman" w:cs="Times New Roman"/>
              </w:rPr>
              <w:t xml:space="preserve"> </w:t>
            </w:r>
          </w:p>
        </w:tc>
        <w:tc>
          <w:tcPr>
            <w:tcW w:w="7669" w:type="dxa"/>
          </w:tcPr>
          <w:p w:rsidR="005A49A9" w:rsidRPr="009D2487" w:rsidRDefault="005A49A9" w:rsidP="005A49A9">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9D2487">
              <w:rPr>
                <w:rFonts w:ascii="Times New Roman" w:eastAsia="Century Gothic" w:hAnsi="Times New Roman" w:cs="Times New Roman"/>
                <w:lang w:eastAsia="it-IT" w:bidi="it-IT"/>
              </w:rPr>
              <w:t>Individuazione del territorio oggetto di programmazione e di intervento per la prevenzione e il contrasto al GAP</w:t>
            </w:r>
          </w:p>
          <w:p w:rsidR="005A49A9" w:rsidRPr="009D2487" w:rsidRDefault="005A49A9" w:rsidP="005A49A9">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9D2487">
              <w:rPr>
                <w:rFonts w:ascii="Times New Roman" w:eastAsia="Century Gothic" w:hAnsi="Times New Roman" w:cs="Times New Roman"/>
                <w:lang w:eastAsia="it-IT" w:bidi="it-IT"/>
              </w:rPr>
              <w:t xml:space="preserve">Analisi di contesto riferito al territorio e analisi swot della situazione attuale </w:t>
            </w:r>
          </w:p>
          <w:p w:rsidR="005A49A9" w:rsidRPr="009D2487" w:rsidRDefault="005A49A9" w:rsidP="005A49A9">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9D2487">
              <w:rPr>
                <w:rFonts w:ascii="Times New Roman" w:eastAsia="Century Gothic" w:hAnsi="Times New Roman" w:cs="Times New Roman"/>
                <w:lang w:eastAsia="it-IT" w:bidi="it-IT"/>
              </w:rPr>
              <w:t>Articolazione del modello organizzativo e di governance</w:t>
            </w:r>
            <w:r w:rsidR="000279A6" w:rsidRPr="009D2487">
              <w:rPr>
                <w:rFonts w:ascii="Times New Roman" w:eastAsia="Century Gothic" w:hAnsi="Times New Roman" w:cs="Times New Roman"/>
                <w:lang w:eastAsia="it-IT" w:bidi="it-IT"/>
              </w:rPr>
              <w:t xml:space="preserve"> secondo quanto indicato dalla DGR 2609/2019, </w:t>
            </w:r>
            <w:r w:rsidR="00695F2F">
              <w:rPr>
                <w:rFonts w:ascii="Times New Roman" w:eastAsia="Century Gothic" w:hAnsi="Times New Roman" w:cs="Times New Roman"/>
                <w:lang w:eastAsia="it-IT" w:bidi="it-IT"/>
              </w:rPr>
              <w:t>c</w:t>
            </w:r>
            <w:r w:rsidR="000F2F67" w:rsidRPr="009D2487">
              <w:rPr>
                <w:rFonts w:ascii="Times New Roman" w:eastAsia="Century Gothic" w:hAnsi="Times New Roman" w:cs="Times New Roman"/>
                <w:lang w:eastAsia="it-IT" w:bidi="it-IT"/>
              </w:rPr>
              <w:t>on chiara individuazione dei soggetti coinvolti</w:t>
            </w:r>
          </w:p>
          <w:p w:rsidR="005A49A9" w:rsidRPr="009D2487" w:rsidRDefault="005A49A9" w:rsidP="005A49A9">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9D2487">
              <w:rPr>
                <w:rFonts w:ascii="Times New Roman" w:eastAsia="Century Gothic" w:hAnsi="Times New Roman" w:cs="Times New Roman"/>
                <w:lang w:eastAsia="it-IT" w:bidi="it-IT"/>
              </w:rPr>
              <w:t xml:space="preserve">Modalità gestionali </w:t>
            </w:r>
          </w:p>
          <w:p w:rsidR="004801DF" w:rsidRPr="009D2487" w:rsidRDefault="004801DF" w:rsidP="004801DF">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9D2487">
              <w:rPr>
                <w:rFonts w:ascii="Times New Roman" w:eastAsia="Century Gothic" w:hAnsi="Times New Roman" w:cs="Times New Roman"/>
                <w:lang w:eastAsia="it-IT" w:bidi="it-IT"/>
              </w:rPr>
              <w:t xml:space="preserve">Modalità di inclusione e definizione di obiettivi </w:t>
            </w:r>
            <w:r w:rsidR="00F10C51" w:rsidRPr="009D2487">
              <w:rPr>
                <w:rFonts w:ascii="Times New Roman" w:eastAsia="Century Gothic" w:hAnsi="Times New Roman" w:cs="Times New Roman"/>
                <w:lang w:eastAsia="it-IT" w:bidi="it-IT"/>
              </w:rPr>
              <w:t>delle azioni relative agli Osservatori Provinciali S</w:t>
            </w:r>
            <w:r w:rsidRPr="009D2487">
              <w:rPr>
                <w:rFonts w:ascii="Times New Roman" w:eastAsia="Century Gothic" w:hAnsi="Times New Roman" w:cs="Times New Roman"/>
                <w:lang w:eastAsia="it-IT" w:bidi="it-IT"/>
              </w:rPr>
              <w:t>colastic</w:t>
            </w:r>
            <w:r w:rsidR="00F10C51" w:rsidRPr="009D2487">
              <w:rPr>
                <w:rFonts w:ascii="Times New Roman" w:eastAsia="Century Gothic" w:hAnsi="Times New Roman" w:cs="Times New Roman"/>
                <w:lang w:eastAsia="it-IT" w:bidi="it-IT"/>
              </w:rPr>
              <w:t>i.</w:t>
            </w:r>
          </w:p>
          <w:p w:rsidR="0058242F" w:rsidRPr="009D2487" w:rsidRDefault="0058242F" w:rsidP="005A49A9">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9D2487">
              <w:rPr>
                <w:rFonts w:ascii="Times New Roman" w:eastAsia="Century Gothic" w:hAnsi="Times New Roman" w:cs="Times New Roman"/>
                <w:lang w:eastAsia="it-IT" w:bidi="it-IT"/>
              </w:rPr>
              <w:t>Descrizione della rete coinvolta, con individuazione dei ruoli, dei livelli di responsabilità e dei compiti previsti</w:t>
            </w:r>
          </w:p>
          <w:p w:rsidR="001A70A2" w:rsidRPr="009D2487" w:rsidRDefault="001A70A2" w:rsidP="005A49A9">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9D2487">
              <w:rPr>
                <w:rFonts w:ascii="Times New Roman" w:eastAsia="Century Gothic" w:hAnsi="Times New Roman" w:cs="Times New Roman"/>
                <w:lang w:eastAsia="it-IT" w:bidi="it-IT"/>
              </w:rPr>
              <w:t xml:space="preserve">Area o aree di intervento </w:t>
            </w:r>
            <w:r w:rsidR="0041313F" w:rsidRPr="009D2487">
              <w:rPr>
                <w:rFonts w:ascii="Times New Roman" w:eastAsia="Century Gothic" w:hAnsi="Times New Roman" w:cs="Times New Roman"/>
                <w:lang w:eastAsia="it-IT" w:bidi="it-IT"/>
              </w:rPr>
              <w:t>con riferimento a quanto indicato al punto 5 dell’Allegato A)</w:t>
            </w:r>
            <w:r w:rsidRPr="009D2487">
              <w:rPr>
                <w:rFonts w:ascii="Times New Roman" w:eastAsia="Century Gothic" w:hAnsi="Times New Roman" w:cs="Times New Roman"/>
                <w:lang w:eastAsia="it-IT" w:bidi="it-IT"/>
              </w:rPr>
              <w:t>; declinazione degli obiettivi specifici e delle azioni che si intendono attuare</w:t>
            </w:r>
            <w:r w:rsidR="002B7C33" w:rsidRPr="009D2487">
              <w:rPr>
                <w:rFonts w:ascii="Times New Roman" w:eastAsia="Century Gothic" w:hAnsi="Times New Roman" w:cs="Times New Roman"/>
                <w:lang w:eastAsia="it-IT" w:bidi="it-IT"/>
              </w:rPr>
              <w:t>, con indicazioni di priorità</w:t>
            </w:r>
          </w:p>
          <w:p w:rsidR="00042CCA" w:rsidRPr="009D2487" w:rsidRDefault="00042CCA" w:rsidP="00042CCA">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9D2487">
              <w:rPr>
                <w:rFonts w:ascii="Times New Roman" w:eastAsia="Century Gothic" w:hAnsi="Times New Roman" w:cs="Times New Roman"/>
                <w:lang w:eastAsia="it-IT" w:bidi="it-IT"/>
              </w:rPr>
              <w:t>Indicazioni relative alla mappatura territoriale dell’offerta destinata alla prevenzione e al contrasto del GAP e all’offerta del gioco d’azzardo (area organizzazione delle informazioni)</w:t>
            </w:r>
          </w:p>
          <w:p w:rsidR="00042CCA" w:rsidRPr="009D2487" w:rsidRDefault="00042CCA" w:rsidP="00F05737">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9D2487">
              <w:rPr>
                <w:rFonts w:ascii="Times New Roman" w:eastAsia="Century Gothic" w:hAnsi="Times New Roman" w:cs="Times New Roman"/>
                <w:lang w:eastAsia="it-IT" w:bidi="it-IT"/>
              </w:rPr>
              <w:t xml:space="preserve">Descrizione dei raccordi già attivi con gli strumenti di programmazione sociosanitaria e sociale e di quelli che si intendono attivare </w:t>
            </w:r>
            <w:r w:rsidR="000279A6" w:rsidRPr="009D2487">
              <w:rPr>
                <w:rFonts w:ascii="Times New Roman" w:eastAsia="Century Gothic" w:hAnsi="Times New Roman" w:cs="Times New Roman"/>
                <w:lang w:eastAsia="it-IT" w:bidi="it-IT"/>
              </w:rPr>
              <w:t>per</w:t>
            </w:r>
            <w:r w:rsidRPr="009D2487">
              <w:rPr>
                <w:rFonts w:ascii="Times New Roman" w:eastAsia="Century Gothic" w:hAnsi="Times New Roman" w:cs="Times New Roman"/>
                <w:lang w:eastAsia="it-IT" w:bidi="it-IT"/>
              </w:rPr>
              <w:t xml:space="preserve"> perseguire reali integrazioni e sinergie</w:t>
            </w:r>
            <w:r w:rsidR="00F05737" w:rsidRPr="009D2487">
              <w:rPr>
                <w:rFonts w:ascii="Times New Roman" w:eastAsia="Century Gothic" w:hAnsi="Times New Roman" w:cs="Times New Roman"/>
                <w:lang w:eastAsia="it-IT" w:bidi="it-IT"/>
              </w:rPr>
              <w:t xml:space="preserve">, con particolare riferimento alle azioni che si intendono </w:t>
            </w:r>
            <w:r w:rsidR="00F05737" w:rsidRPr="009D2487">
              <w:rPr>
                <w:rFonts w:ascii="Times New Roman" w:eastAsia="Century Gothic" w:hAnsi="Times New Roman" w:cs="Times New Roman"/>
                <w:lang w:eastAsia="it-IT" w:bidi="it-IT"/>
              </w:rPr>
              <w:lastRenderedPageBreak/>
              <w:t xml:space="preserve">realizzare per formalizzare protocolli operativi con le ASST e gli SMI del territorio per la segnalazione e l’invio di persone con problematiche GAP; </w:t>
            </w:r>
            <w:r w:rsidR="000279A6" w:rsidRPr="009D2487">
              <w:rPr>
                <w:rFonts w:ascii="Times New Roman" w:eastAsia="Century Gothic" w:hAnsi="Times New Roman" w:cs="Times New Roman"/>
                <w:lang w:eastAsia="it-IT" w:bidi="it-IT"/>
              </w:rPr>
              <w:t xml:space="preserve">descrizione dei raccordi </w:t>
            </w:r>
            <w:r w:rsidRPr="009D2487">
              <w:rPr>
                <w:rFonts w:ascii="Times New Roman" w:eastAsia="Century Gothic" w:hAnsi="Times New Roman" w:cs="Times New Roman"/>
                <w:lang w:eastAsia="it-IT" w:bidi="it-IT"/>
              </w:rPr>
              <w:t>tra servizi e con la scuola o altri setting indicati nel Piano Regionale per la Prevenzione</w:t>
            </w:r>
          </w:p>
          <w:p w:rsidR="00042CCA" w:rsidRPr="009D2487" w:rsidRDefault="00042CCA" w:rsidP="005A49A9">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9D2487">
              <w:rPr>
                <w:rFonts w:ascii="Times New Roman" w:eastAsia="Century Gothic" w:hAnsi="Times New Roman" w:cs="Times New Roman"/>
                <w:lang w:eastAsia="it-IT" w:bidi="it-IT"/>
              </w:rPr>
              <w:t>Eventuali elementi di continuità o di novità rispetto alla sperimentazione ex DGR 1114/2018, sia rispetto alle azioni da realizzare, sia rispetto ai soggetti coinvolti</w:t>
            </w:r>
          </w:p>
          <w:p w:rsidR="0041313F" w:rsidRPr="009D2487" w:rsidRDefault="0041313F" w:rsidP="005A49A9">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9D2487">
              <w:rPr>
                <w:rFonts w:ascii="Times New Roman" w:eastAsia="Century Gothic" w:hAnsi="Times New Roman" w:cs="Times New Roman"/>
                <w:lang w:eastAsia="it-IT" w:bidi="it-IT"/>
              </w:rPr>
              <w:t xml:space="preserve">Risultati attesi e di miglioramento rispetto alla situazione attuale </w:t>
            </w:r>
          </w:p>
          <w:p w:rsidR="002B7C33" w:rsidRPr="009D2487" w:rsidRDefault="002B7C33" w:rsidP="005A49A9">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9D2487">
              <w:rPr>
                <w:rFonts w:ascii="Times New Roman" w:eastAsia="Century Gothic" w:hAnsi="Times New Roman" w:cs="Times New Roman"/>
                <w:lang w:eastAsia="it-IT" w:bidi="it-IT"/>
              </w:rPr>
              <w:t>Strumenti per la rilevazione dei risultati e degli indicatori di esito e di valutazione di efficacia del modello</w:t>
            </w:r>
          </w:p>
          <w:p w:rsidR="0041313F" w:rsidRPr="009D2487" w:rsidRDefault="00220F27" w:rsidP="0058242F">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9D2487">
              <w:rPr>
                <w:rFonts w:ascii="Times New Roman" w:eastAsia="Century Gothic" w:hAnsi="Times New Roman" w:cs="Times New Roman"/>
                <w:lang w:eastAsia="it-IT" w:bidi="it-IT"/>
              </w:rPr>
              <w:t>E</w:t>
            </w:r>
            <w:r w:rsidR="0041313F" w:rsidRPr="009D2487">
              <w:rPr>
                <w:rFonts w:ascii="Times New Roman" w:eastAsia="Century Gothic" w:hAnsi="Times New Roman" w:cs="Times New Roman"/>
                <w:lang w:eastAsia="it-IT" w:bidi="it-IT"/>
              </w:rPr>
              <w:t>lementi di esportabilità e sostenibilità nel tempo</w:t>
            </w:r>
          </w:p>
          <w:p w:rsidR="0058242F" w:rsidRPr="009D2487" w:rsidRDefault="0041313F" w:rsidP="0058242F">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9D2487">
              <w:rPr>
                <w:rFonts w:ascii="Times New Roman" w:eastAsia="Century Gothic" w:hAnsi="Times New Roman" w:cs="Times New Roman"/>
                <w:lang w:eastAsia="it-IT" w:bidi="it-IT"/>
              </w:rPr>
              <w:t>Risorse economiche</w:t>
            </w:r>
            <w:r w:rsidR="00327C84" w:rsidRPr="009D2487">
              <w:rPr>
                <w:rFonts w:ascii="Times New Roman" w:eastAsia="Century Gothic" w:hAnsi="Times New Roman" w:cs="Times New Roman"/>
                <w:lang w:eastAsia="it-IT" w:bidi="it-IT"/>
              </w:rPr>
              <w:t>, contributo richiesto</w:t>
            </w:r>
            <w:r w:rsidRPr="009D2487">
              <w:rPr>
                <w:rFonts w:ascii="Times New Roman" w:eastAsia="Century Gothic" w:hAnsi="Times New Roman" w:cs="Times New Roman"/>
                <w:lang w:eastAsia="it-IT" w:bidi="it-IT"/>
              </w:rPr>
              <w:t xml:space="preserve"> e Piano dei costi</w:t>
            </w:r>
          </w:p>
          <w:p w:rsidR="0041313F" w:rsidRPr="009D2487" w:rsidRDefault="0041313F" w:rsidP="0058242F">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9D2487">
              <w:rPr>
                <w:rFonts w:ascii="Times New Roman" w:eastAsia="Century Gothic" w:hAnsi="Times New Roman" w:cs="Times New Roman"/>
                <w:lang w:eastAsia="it-IT" w:bidi="it-IT"/>
              </w:rPr>
              <w:t>Cronoprogramma</w:t>
            </w:r>
            <w:r w:rsidR="00C471F5" w:rsidRPr="009D2487">
              <w:rPr>
                <w:rFonts w:ascii="Times New Roman" w:eastAsia="Century Gothic" w:hAnsi="Times New Roman" w:cs="Times New Roman"/>
                <w:lang w:eastAsia="it-IT" w:bidi="it-IT"/>
              </w:rPr>
              <w:t>, con chiara indicazione del termine di inizio e di fine del programma di intervento</w:t>
            </w:r>
          </w:p>
          <w:p w:rsidR="00220F27" w:rsidRPr="009D2487" w:rsidRDefault="00F05737" w:rsidP="000279A6">
            <w:pPr>
              <w:spacing w:after="120"/>
              <w:jc w:val="both"/>
              <w:rPr>
                <w:rFonts w:ascii="Times New Roman" w:eastAsia="Century Gothic" w:hAnsi="Times New Roman" w:cs="Times New Roman"/>
                <w:lang w:eastAsia="it-IT" w:bidi="it-IT"/>
              </w:rPr>
            </w:pPr>
            <w:r w:rsidRPr="009D2487">
              <w:rPr>
                <w:rFonts w:ascii="Times New Roman" w:eastAsia="Century Gothic" w:hAnsi="Times New Roman" w:cs="Times New Roman"/>
                <w:lang w:eastAsia="it-IT" w:bidi="it-IT"/>
              </w:rPr>
              <w:t>La definizione della proposta dovrà tenere conto dei seguenti elementi</w:t>
            </w:r>
            <w:r w:rsidR="00220F27" w:rsidRPr="009D2487">
              <w:rPr>
                <w:rFonts w:ascii="Times New Roman" w:eastAsia="Century Gothic" w:hAnsi="Times New Roman" w:cs="Times New Roman"/>
                <w:lang w:eastAsia="it-IT" w:bidi="it-IT"/>
              </w:rPr>
              <w:t>:</w:t>
            </w:r>
          </w:p>
          <w:p w:rsidR="00220F27" w:rsidRPr="009D2487" w:rsidRDefault="00F05737" w:rsidP="002B7C33">
            <w:pPr>
              <w:pStyle w:val="Paragrafoelenco"/>
              <w:numPr>
                <w:ilvl w:val="1"/>
                <w:numId w:val="9"/>
              </w:numPr>
              <w:tabs>
                <w:tab w:val="clear" w:pos="1440"/>
              </w:tabs>
              <w:spacing w:after="120"/>
              <w:ind w:left="319" w:hanging="284"/>
              <w:contextualSpacing w:val="0"/>
              <w:jc w:val="both"/>
              <w:rPr>
                <w:rFonts w:ascii="Times New Roman" w:eastAsia="Century Gothic" w:hAnsi="Times New Roman" w:cs="Times New Roman"/>
                <w:lang w:eastAsia="it-IT" w:bidi="it-IT"/>
              </w:rPr>
            </w:pPr>
            <w:r w:rsidRPr="009D2487">
              <w:rPr>
                <w:rFonts w:ascii="Times New Roman" w:eastAsia="Century Gothic" w:hAnsi="Times New Roman" w:cs="Times New Roman"/>
                <w:lang w:eastAsia="it-IT" w:bidi="it-IT"/>
              </w:rPr>
              <w:t>n</w:t>
            </w:r>
            <w:r w:rsidR="00695F2F">
              <w:rPr>
                <w:rFonts w:ascii="Times New Roman" w:eastAsia="Century Gothic" w:hAnsi="Times New Roman" w:cs="Times New Roman"/>
                <w:lang w:eastAsia="it-IT" w:bidi="it-IT"/>
              </w:rPr>
              <w:t xml:space="preserve">ell’individuazione </w:t>
            </w:r>
            <w:r w:rsidR="00220F27" w:rsidRPr="009D2487">
              <w:rPr>
                <w:rFonts w:ascii="Times New Roman" w:eastAsia="Century Gothic" w:hAnsi="Times New Roman" w:cs="Times New Roman"/>
                <w:lang w:eastAsia="it-IT" w:bidi="it-IT"/>
              </w:rPr>
              <w:t xml:space="preserve">dell’area/aree di intervento e delle relative azioni, si raccomandano: la coerenza con l’analisi di contesto; la fattibilità rispetto alle risorse e alle tempistiche di attuazione; il consolidamento o il potenziamento delle azioni già in atto (nella logica della “messa a sistema”) da privilegiare rispetto a nuove azioni, </w:t>
            </w:r>
            <w:r w:rsidR="001203A9" w:rsidRPr="009D2487">
              <w:rPr>
                <w:rFonts w:ascii="Times New Roman" w:eastAsia="Century Gothic" w:hAnsi="Times New Roman" w:cs="Times New Roman"/>
                <w:lang w:eastAsia="it-IT" w:bidi="it-IT"/>
              </w:rPr>
              <w:t xml:space="preserve">che potranno essere </w:t>
            </w:r>
            <w:r w:rsidR="00220F27" w:rsidRPr="009D2487">
              <w:rPr>
                <w:rFonts w:ascii="Times New Roman" w:eastAsia="Century Gothic" w:hAnsi="Times New Roman" w:cs="Times New Roman"/>
                <w:lang w:eastAsia="it-IT" w:bidi="it-IT"/>
              </w:rPr>
              <w:t>individua</w:t>
            </w:r>
            <w:r w:rsidR="001203A9" w:rsidRPr="009D2487">
              <w:rPr>
                <w:rFonts w:ascii="Times New Roman" w:eastAsia="Century Gothic" w:hAnsi="Times New Roman" w:cs="Times New Roman"/>
                <w:lang w:eastAsia="it-IT" w:bidi="it-IT"/>
              </w:rPr>
              <w:t>te</w:t>
            </w:r>
            <w:r w:rsidR="00220F27" w:rsidRPr="009D2487">
              <w:rPr>
                <w:rFonts w:ascii="Times New Roman" w:eastAsia="Century Gothic" w:hAnsi="Times New Roman" w:cs="Times New Roman"/>
                <w:lang w:eastAsia="it-IT" w:bidi="it-IT"/>
              </w:rPr>
              <w:t xml:space="preserve"> solo </w:t>
            </w:r>
            <w:r w:rsidR="001203A9" w:rsidRPr="009D2487">
              <w:rPr>
                <w:rFonts w:ascii="Times New Roman" w:eastAsia="Century Gothic" w:hAnsi="Times New Roman" w:cs="Times New Roman"/>
                <w:lang w:eastAsia="it-IT" w:bidi="it-IT"/>
              </w:rPr>
              <w:t xml:space="preserve">se </w:t>
            </w:r>
            <w:r w:rsidR="00220F27" w:rsidRPr="009D2487">
              <w:rPr>
                <w:rFonts w:ascii="Times New Roman" w:eastAsia="Century Gothic" w:hAnsi="Times New Roman" w:cs="Times New Roman"/>
                <w:lang w:eastAsia="it-IT" w:bidi="it-IT"/>
              </w:rPr>
              <w:t>rappresentano un’area “scoperta “rispetto ai bisogni</w:t>
            </w:r>
          </w:p>
          <w:p w:rsidR="002B7C33" w:rsidRPr="009D2487" w:rsidRDefault="002B7C33" w:rsidP="002B7C33">
            <w:pPr>
              <w:pStyle w:val="Paragrafoelenco"/>
              <w:numPr>
                <w:ilvl w:val="1"/>
                <w:numId w:val="9"/>
              </w:numPr>
              <w:tabs>
                <w:tab w:val="clear" w:pos="1440"/>
              </w:tabs>
              <w:spacing w:after="120"/>
              <w:ind w:left="318" w:hanging="284"/>
              <w:contextualSpacing w:val="0"/>
              <w:jc w:val="both"/>
              <w:rPr>
                <w:rFonts w:ascii="Times New Roman" w:eastAsia="Century Gothic" w:hAnsi="Times New Roman" w:cs="Times New Roman"/>
                <w:lang w:eastAsia="it-IT" w:bidi="it-IT"/>
              </w:rPr>
            </w:pPr>
            <w:r w:rsidRPr="009D2487">
              <w:rPr>
                <w:rFonts w:ascii="Times New Roman" w:eastAsia="Century Gothic" w:hAnsi="Times New Roman" w:cs="Times New Roman"/>
                <w:lang w:eastAsia="it-IT" w:bidi="it-IT"/>
              </w:rPr>
              <w:t>Per</w:t>
            </w:r>
            <w:r w:rsidR="00A1114A" w:rsidRPr="009D2487">
              <w:rPr>
                <w:rFonts w:ascii="Times New Roman" w:eastAsia="Century Gothic" w:hAnsi="Times New Roman" w:cs="Times New Roman"/>
                <w:lang w:eastAsia="it-IT" w:bidi="it-IT"/>
              </w:rPr>
              <w:t>corso raccomandato:</w:t>
            </w:r>
            <w:r w:rsidRPr="009D2487">
              <w:rPr>
                <w:rFonts w:ascii="Times New Roman" w:eastAsia="Century Gothic" w:hAnsi="Times New Roman" w:cs="Times New Roman"/>
                <w:lang w:eastAsia="it-IT" w:bidi="it-IT"/>
              </w:rPr>
              <w:t xml:space="preserve"> partire dall’analisi del contesto territoriale e dalla lettura di bisogni individuati, integrando risorse e competenze; individuare le a</w:t>
            </w:r>
            <w:r w:rsidR="001203A9" w:rsidRPr="009D2487">
              <w:rPr>
                <w:rFonts w:ascii="Times New Roman" w:eastAsia="Century Gothic" w:hAnsi="Times New Roman" w:cs="Times New Roman"/>
                <w:lang w:eastAsia="it-IT" w:bidi="it-IT"/>
              </w:rPr>
              <w:t>z</w:t>
            </w:r>
            <w:r w:rsidRPr="009D2487">
              <w:rPr>
                <w:rFonts w:ascii="Times New Roman" w:eastAsia="Century Gothic" w:hAnsi="Times New Roman" w:cs="Times New Roman"/>
                <w:lang w:eastAsia="it-IT" w:bidi="it-IT"/>
              </w:rPr>
              <w:t>ioni già realizzate che hanno prodotto buoni risultati, individuare i punti di eccellenza, i punti di debolezza, i vuoti da colmare, le sovrapposizioni da eliminare e le azioni da migliorare</w:t>
            </w:r>
          </w:p>
        </w:tc>
      </w:tr>
      <w:tr w:rsidR="0061611E" w:rsidRPr="005E27C6" w:rsidTr="005E27C6">
        <w:trPr>
          <w:trHeight w:val="818"/>
        </w:trPr>
        <w:tc>
          <w:tcPr>
            <w:tcW w:w="1959" w:type="dxa"/>
          </w:tcPr>
          <w:p w:rsidR="0061611E" w:rsidRPr="005E27C6" w:rsidRDefault="0061611E">
            <w:pPr>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lastRenderedPageBreak/>
              <w:t>Spese ammissibili</w:t>
            </w:r>
          </w:p>
        </w:tc>
        <w:tc>
          <w:tcPr>
            <w:tcW w:w="7669" w:type="dxa"/>
          </w:tcPr>
          <w:p w:rsidR="0061611E" w:rsidRPr="005E27C6" w:rsidRDefault="0061611E" w:rsidP="00FC6D3B">
            <w:pPr>
              <w:spacing w:after="12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Punto 9 della DGR 2609/2019</w:t>
            </w:r>
          </w:p>
          <w:p w:rsidR="0061611E" w:rsidRPr="005E27C6" w:rsidRDefault="0061611E" w:rsidP="0061611E">
            <w:pPr>
              <w:tabs>
                <w:tab w:val="num" w:pos="1440"/>
              </w:tabs>
              <w:spacing w:after="60" w:line="252" w:lineRule="auto"/>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 xml:space="preserve">Le risorse regionali sono destinate a sostenere </w:t>
            </w:r>
            <w:r w:rsidRPr="005E27C6">
              <w:rPr>
                <w:rFonts w:ascii="Times New Roman" w:eastAsia="Century Gothic" w:hAnsi="Times New Roman" w:cs="Times New Roman"/>
                <w:b/>
                <w:bCs/>
                <w:lang w:eastAsia="it-IT" w:bidi="it-IT"/>
              </w:rPr>
              <w:t xml:space="preserve">spese di natura corrente </w:t>
            </w:r>
            <w:r w:rsidRPr="005E27C6">
              <w:rPr>
                <w:rFonts w:ascii="Times New Roman" w:eastAsia="Century Gothic" w:hAnsi="Times New Roman" w:cs="Times New Roman"/>
                <w:lang w:eastAsia="it-IT" w:bidi="it-IT"/>
              </w:rPr>
              <w:t xml:space="preserve">relative a: </w:t>
            </w:r>
          </w:p>
          <w:p w:rsidR="0061611E" w:rsidRPr="005E27C6" w:rsidRDefault="0061611E" w:rsidP="0061611E">
            <w:pPr>
              <w:numPr>
                <w:ilvl w:val="1"/>
                <w:numId w:val="13"/>
              </w:numPr>
              <w:tabs>
                <w:tab w:val="clear" w:pos="1440"/>
              </w:tabs>
              <w:autoSpaceDE w:val="0"/>
              <w:autoSpaceDN w:val="0"/>
              <w:adjustRightInd w:val="0"/>
              <w:spacing w:after="60" w:line="252" w:lineRule="auto"/>
              <w:ind w:left="319" w:hanging="284"/>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 xml:space="preserve">implementazione delle azioni in atto o realizzazione di nuove azioni </w:t>
            </w:r>
          </w:p>
          <w:p w:rsidR="0061611E" w:rsidRPr="005E27C6" w:rsidRDefault="0061611E" w:rsidP="0061611E">
            <w:pPr>
              <w:numPr>
                <w:ilvl w:val="1"/>
                <w:numId w:val="13"/>
              </w:numPr>
              <w:tabs>
                <w:tab w:val="clear" w:pos="1440"/>
              </w:tabs>
              <w:autoSpaceDE w:val="0"/>
              <w:autoSpaceDN w:val="0"/>
              <w:adjustRightInd w:val="0"/>
              <w:spacing w:after="60" w:line="252" w:lineRule="auto"/>
              <w:ind w:left="319" w:hanging="284"/>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spese di personale specificatamente incaricato e non già impegnato, nell’ambito delle funzioni ordinarie, in azioni per la prevenzione e il contrasto al gioco d’azzardo. Per “spese di personale” si intendono sia quelle riferite a rapporto di lavoro subordinato, sia a rapporti di lavoro diversi da quello subordinato (liberi professionisti, consulenti, colla</w:t>
            </w:r>
            <w:r w:rsidRPr="005E27C6">
              <w:rPr>
                <w:rFonts w:ascii="Times New Roman" w:eastAsia="Century Gothic" w:hAnsi="Times New Roman" w:cs="Times New Roman"/>
                <w:lang w:eastAsia="it-IT" w:bidi="it-IT"/>
              </w:rPr>
              <w:softHyphen/>
              <w:t xml:space="preserve">boratori, ecc.) sostenute dal Soggetto capofila o dai partner.  Il costo è ammissibile nel caso in cui il personale partecipi operativamente al progetto o realizzi attività amministrative o di supporto allo stesso e dovrà essere preventivamente incaricato con lettera, che ne indichi le attività e le ore da dedicare. Non sono riconoscibili costi (es. gettoni di presenza) per la partecipazione a Cabine di regia, Tavoli etc. </w:t>
            </w:r>
          </w:p>
          <w:p w:rsidR="0061611E" w:rsidRPr="005E27C6" w:rsidRDefault="0061611E" w:rsidP="0061611E">
            <w:pPr>
              <w:numPr>
                <w:ilvl w:val="1"/>
                <w:numId w:val="13"/>
              </w:numPr>
              <w:tabs>
                <w:tab w:val="clear" w:pos="1440"/>
                <w:tab w:val="num" w:pos="709"/>
              </w:tabs>
              <w:spacing w:after="60" w:line="252" w:lineRule="auto"/>
              <w:ind w:left="460" w:hanging="425"/>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spese per il sistema di rilevazione dati, fino ad un massimo del 20% delle risorse regionali</w:t>
            </w:r>
          </w:p>
          <w:p w:rsidR="0061611E" w:rsidRPr="005E27C6" w:rsidRDefault="0061611E" w:rsidP="0061611E">
            <w:pPr>
              <w:numPr>
                <w:ilvl w:val="1"/>
                <w:numId w:val="13"/>
              </w:numPr>
              <w:tabs>
                <w:tab w:val="clear" w:pos="1440"/>
                <w:tab w:val="num" w:pos="709"/>
              </w:tabs>
              <w:spacing w:after="60" w:line="252" w:lineRule="auto"/>
              <w:ind w:left="460" w:hanging="425"/>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 xml:space="preserve">eventuali attività di ricerca (max 15%) </w:t>
            </w:r>
          </w:p>
          <w:p w:rsidR="0061611E" w:rsidRPr="005E27C6" w:rsidRDefault="0061611E" w:rsidP="0061611E">
            <w:pPr>
              <w:numPr>
                <w:ilvl w:val="1"/>
                <w:numId w:val="13"/>
              </w:numPr>
              <w:tabs>
                <w:tab w:val="clear" w:pos="1440"/>
                <w:tab w:val="num" w:pos="709"/>
              </w:tabs>
              <w:spacing w:after="60" w:line="252" w:lineRule="auto"/>
              <w:ind w:left="460" w:hanging="425"/>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eventuali altre spese presentate nel piano dei conti, ritenute in fase di valutazione del progetto idonee e funzionali al conseguimento dell’obiettivo generale e degli obiettivi specifici individuati dal piano di lavoro (max 10%)</w:t>
            </w:r>
          </w:p>
          <w:p w:rsidR="0061611E" w:rsidRPr="005E27C6" w:rsidRDefault="0061611E" w:rsidP="0061611E">
            <w:pPr>
              <w:pStyle w:val="Punt"/>
              <w:numPr>
                <w:ilvl w:val="0"/>
                <w:numId w:val="0"/>
              </w:numPr>
              <w:spacing w:after="60" w:line="252" w:lineRule="auto"/>
              <w:rPr>
                <w:rFonts w:ascii="Times New Roman" w:eastAsia="Century Gothic" w:hAnsi="Times New Roman"/>
                <w:snapToGrid/>
                <w:sz w:val="22"/>
                <w:szCs w:val="22"/>
                <w:lang w:bidi="it-IT"/>
              </w:rPr>
            </w:pPr>
            <w:r w:rsidRPr="005E27C6">
              <w:rPr>
                <w:rFonts w:ascii="Times New Roman" w:eastAsia="Century Gothic" w:hAnsi="Times New Roman"/>
                <w:snapToGrid/>
                <w:sz w:val="22"/>
                <w:szCs w:val="22"/>
                <w:lang w:bidi="it-IT"/>
              </w:rPr>
              <w:t xml:space="preserve">Tutti i costi, per essere riconosciuti, dovranno essere documentabili, trasparenti e suddivisi per voce, nel rispetto di pertinenza, congruità e coerenza. </w:t>
            </w:r>
          </w:p>
          <w:p w:rsidR="0061611E" w:rsidRPr="005E27C6" w:rsidRDefault="0061611E" w:rsidP="0061611E">
            <w:pPr>
              <w:pStyle w:val="Punt"/>
              <w:numPr>
                <w:ilvl w:val="0"/>
                <w:numId w:val="0"/>
              </w:numPr>
              <w:spacing w:after="60" w:line="252" w:lineRule="auto"/>
              <w:rPr>
                <w:rFonts w:ascii="Times New Roman" w:eastAsia="Century Gothic" w:hAnsi="Times New Roman"/>
                <w:snapToGrid/>
                <w:sz w:val="22"/>
                <w:szCs w:val="22"/>
                <w:lang w:bidi="it-IT"/>
              </w:rPr>
            </w:pPr>
            <w:r w:rsidRPr="005E27C6">
              <w:rPr>
                <w:rFonts w:ascii="Times New Roman" w:eastAsia="Century Gothic" w:hAnsi="Times New Roman"/>
                <w:snapToGrid/>
                <w:sz w:val="22"/>
                <w:szCs w:val="22"/>
                <w:lang w:bidi="it-IT"/>
              </w:rPr>
              <w:t xml:space="preserve">I pagamenti effettuati dovranno seguire la normativa sulla tracciabilità dei flussi economici. </w:t>
            </w:r>
          </w:p>
          <w:p w:rsidR="0061611E" w:rsidRPr="005E27C6" w:rsidRDefault="0061611E" w:rsidP="000279A6">
            <w:pPr>
              <w:pStyle w:val="Punt"/>
              <w:numPr>
                <w:ilvl w:val="0"/>
                <w:numId w:val="0"/>
              </w:numPr>
              <w:spacing w:after="60" w:line="252" w:lineRule="auto"/>
              <w:rPr>
                <w:rFonts w:ascii="Times New Roman" w:eastAsia="Century Gothic" w:hAnsi="Times New Roman"/>
                <w:lang w:bidi="it-IT"/>
              </w:rPr>
            </w:pPr>
            <w:r w:rsidRPr="005E27C6">
              <w:rPr>
                <w:rFonts w:ascii="Times New Roman" w:eastAsia="Century Gothic" w:hAnsi="Times New Roman"/>
                <w:snapToGrid/>
                <w:sz w:val="22"/>
                <w:szCs w:val="22"/>
                <w:lang w:bidi="it-IT"/>
              </w:rPr>
              <w:t>E’ a carico dell’Ente capofila rendersi garante rispetto alle suddette condizioni anche da parte dei partner.</w:t>
            </w:r>
          </w:p>
        </w:tc>
      </w:tr>
      <w:tr w:rsidR="002B7C33" w:rsidRPr="005E27C6" w:rsidTr="005E27C6">
        <w:trPr>
          <w:trHeight w:val="818"/>
        </w:trPr>
        <w:tc>
          <w:tcPr>
            <w:tcW w:w="1959" w:type="dxa"/>
          </w:tcPr>
          <w:p w:rsidR="002B7C33" w:rsidRPr="005E27C6" w:rsidRDefault="0046667B">
            <w:pPr>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Adempimenti per l’avvio delle attività a seguito di ammissione al finanziamento</w:t>
            </w:r>
          </w:p>
        </w:tc>
        <w:tc>
          <w:tcPr>
            <w:tcW w:w="7669" w:type="dxa"/>
          </w:tcPr>
          <w:p w:rsidR="002B7C33" w:rsidRPr="005E27C6" w:rsidRDefault="0046667B" w:rsidP="00FC6D3B">
            <w:pPr>
              <w:spacing w:after="12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Sottoscrizione di Convenzione operativa tra ATS e Ambito Capofila entro 20 gg dall’approvazione della graduatoria</w:t>
            </w:r>
            <w:r w:rsidR="00FC6D3B" w:rsidRPr="005E27C6">
              <w:rPr>
                <w:rFonts w:ascii="Times New Roman" w:eastAsia="Century Gothic" w:hAnsi="Times New Roman" w:cs="Times New Roman"/>
                <w:lang w:eastAsia="it-IT" w:bidi="it-IT"/>
              </w:rPr>
              <w:t>, previa accettazione da parte dell’Ambito Capofila del contributo proposto</w:t>
            </w:r>
          </w:p>
        </w:tc>
      </w:tr>
      <w:tr w:rsidR="0046667B" w:rsidRPr="005E27C6" w:rsidTr="005E27C6">
        <w:trPr>
          <w:trHeight w:val="1291"/>
        </w:trPr>
        <w:tc>
          <w:tcPr>
            <w:tcW w:w="1959" w:type="dxa"/>
          </w:tcPr>
          <w:p w:rsidR="0046667B" w:rsidRPr="005E27C6" w:rsidRDefault="0046667B" w:rsidP="0046667B">
            <w:pPr>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Sistema di monitoraggio e valutazione</w:t>
            </w:r>
          </w:p>
        </w:tc>
        <w:tc>
          <w:tcPr>
            <w:tcW w:w="7669" w:type="dxa"/>
          </w:tcPr>
          <w:p w:rsidR="0046667B" w:rsidRPr="005E27C6" w:rsidRDefault="002C17A6" w:rsidP="0046667B">
            <w:pPr>
              <w:spacing w:after="12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Indicazioni con r</w:t>
            </w:r>
            <w:r w:rsidR="0046667B" w:rsidRPr="005E27C6">
              <w:rPr>
                <w:rFonts w:ascii="Times New Roman" w:eastAsia="Century Gothic" w:hAnsi="Times New Roman" w:cs="Times New Roman"/>
                <w:lang w:eastAsia="it-IT" w:bidi="it-IT"/>
              </w:rPr>
              <w:t>iferimento al punto 10 dell’Allegato A) e al Tavolo di Monitoraggio indicato al punto 3 dell’Allegato A)</w:t>
            </w:r>
            <w:r w:rsidR="001F04E9" w:rsidRPr="005E27C6">
              <w:rPr>
                <w:rFonts w:ascii="Times New Roman" w:eastAsia="Century Gothic" w:hAnsi="Times New Roman" w:cs="Times New Roman"/>
                <w:lang w:eastAsia="it-IT" w:bidi="it-IT"/>
              </w:rPr>
              <w:t xml:space="preserve"> alla DGR 2609/2019 </w:t>
            </w:r>
            <w:r w:rsidR="0046667B" w:rsidRPr="005E27C6">
              <w:rPr>
                <w:rFonts w:ascii="Times New Roman" w:eastAsia="Century Gothic" w:hAnsi="Times New Roman" w:cs="Times New Roman"/>
                <w:lang w:eastAsia="it-IT" w:bidi="it-IT"/>
              </w:rPr>
              <w:t xml:space="preserve">oltre a </w:t>
            </w:r>
            <w:r w:rsidRPr="005E27C6">
              <w:rPr>
                <w:rFonts w:ascii="Times New Roman" w:eastAsia="Century Gothic" w:hAnsi="Times New Roman" w:cs="Times New Roman"/>
                <w:lang w:eastAsia="it-IT" w:bidi="it-IT"/>
              </w:rPr>
              <w:t xml:space="preserve">specificità che potranno essere indicate </w:t>
            </w:r>
            <w:r w:rsidR="0046667B" w:rsidRPr="005E27C6">
              <w:rPr>
                <w:rFonts w:ascii="Times New Roman" w:eastAsia="Century Gothic" w:hAnsi="Times New Roman" w:cs="Times New Roman"/>
                <w:lang w:eastAsia="it-IT" w:bidi="it-IT"/>
              </w:rPr>
              <w:t>d</w:t>
            </w:r>
            <w:r w:rsidRPr="005E27C6">
              <w:rPr>
                <w:rFonts w:ascii="Times New Roman" w:eastAsia="Century Gothic" w:hAnsi="Times New Roman" w:cs="Times New Roman"/>
                <w:lang w:eastAsia="it-IT" w:bidi="it-IT"/>
              </w:rPr>
              <w:t>a</w:t>
            </w:r>
            <w:r w:rsidR="0046667B" w:rsidRPr="005E27C6">
              <w:rPr>
                <w:rFonts w:ascii="Times New Roman" w:eastAsia="Century Gothic" w:hAnsi="Times New Roman" w:cs="Times New Roman"/>
                <w:lang w:eastAsia="it-IT" w:bidi="it-IT"/>
              </w:rPr>
              <w:t xml:space="preserve">ll’ATS in relazione alla propria organizzazione </w:t>
            </w:r>
          </w:p>
        </w:tc>
      </w:tr>
      <w:tr w:rsidR="00022CB5" w:rsidRPr="005E27C6" w:rsidTr="005E27C6">
        <w:trPr>
          <w:trHeight w:val="566"/>
        </w:trPr>
        <w:tc>
          <w:tcPr>
            <w:tcW w:w="1959" w:type="dxa"/>
          </w:tcPr>
          <w:p w:rsidR="00022CB5" w:rsidRPr="00F4012A" w:rsidRDefault="00225F71" w:rsidP="0046667B">
            <w:pPr>
              <w:rPr>
                <w:rFonts w:ascii="Times New Roman" w:eastAsia="Century Gothic" w:hAnsi="Times New Roman" w:cs="Times New Roman"/>
                <w:lang w:eastAsia="it-IT" w:bidi="it-IT"/>
              </w:rPr>
            </w:pPr>
            <w:r w:rsidRPr="00F4012A">
              <w:rPr>
                <w:rFonts w:ascii="Times New Roman" w:eastAsia="Century Gothic" w:hAnsi="Times New Roman" w:cs="Times New Roman"/>
                <w:lang w:eastAsia="it-IT" w:bidi="it-IT"/>
              </w:rPr>
              <w:t>Dotazione finanziaria</w:t>
            </w:r>
          </w:p>
        </w:tc>
        <w:tc>
          <w:tcPr>
            <w:tcW w:w="7669" w:type="dxa"/>
          </w:tcPr>
          <w:p w:rsidR="009175E9" w:rsidRPr="00F4012A" w:rsidRDefault="009175E9" w:rsidP="0046667B">
            <w:pPr>
              <w:spacing w:after="120"/>
              <w:jc w:val="both"/>
              <w:rPr>
                <w:rFonts w:ascii="Times New Roman" w:eastAsia="Century Gothic" w:hAnsi="Times New Roman" w:cs="Times New Roman"/>
                <w:lang w:eastAsia="it-IT" w:bidi="it-IT"/>
              </w:rPr>
            </w:pPr>
            <w:r w:rsidRPr="00F4012A">
              <w:rPr>
                <w:rFonts w:ascii="Times New Roman" w:eastAsia="Century Gothic" w:hAnsi="Times New Roman" w:cs="Times New Roman"/>
                <w:lang w:eastAsia="it-IT" w:bidi="it-IT"/>
              </w:rPr>
              <w:t>Le r</w:t>
            </w:r>
            <w:r w:rsidR="00022CB5" w:rsidRPr="00F4012A">
              <w:rPr>
                <w:rFonts w:ascii="Times New Roman" w:eastAsia="Century Gothic" w:hAnsi="Times New Roman" w:cs="Times New Roman"/>
                <w:lang w:eastAsia="it-IT" w:bidi="it-IT"/>
              </w:rPr>
              <w:t>isorse da riparto riportate al punto 6 dell'</w:t>
            </w:r>
            <w:r w:rsidR="002C17A6" w:rsidRPr="00F4012A">
              <w:rPr>
                <w:rFonts w:ascii="Times New Roman" w:eastAsia="Century Gothic" w:hAnsi="Times New Roman" w:cs="Times New Roman"/>
                <w:lang w:eastAsia="it-IT" w:bidi="it-IT"/>
              </w:rPr>
              <w:t>Allegato A) alla DGR</w:t>
            </w:r>
            <w:r w:rsidR="001F04E9" w:rsidRPr="00F4012A">
              <w:rPr>
                <w:rFonts w:ascii="Times New Roman" w:eastAsia="Century Gothic" w:hAnsi="Times New Roman" w:cs="Times New Roman"/>
                <w:lang w:eastAsia="it-IT" w:bidi="it-IT"/>
              </w:rPr>
              <w:t xml:space="preserve"> 2609/2019</w:t>
            </w:r>
            <w:r w:rsidRPr="00F4012A">
              <w:rPr>
                <w:rFonts w:ascii="Times New Roman" w:eastAsia="Century Gothic" w:hAnsi="Times New Roman" w:cs="Times New Roman"/>
                <w:lang w:eastAsia="it-IT" w:bidi="it-IT"/>
              </w:rPr>
              <w:t xml:space="preserve"> destinate alla ATS della Brianza ammontano alla quota totale di </w:t>
            </w:r>
            <w:r w:rsidR="00695F2F">
              <w:rPr>
                <w:rFonts w:ascii="Times New Roman" w:eastAsia="Century Gothic" w:hAnsi="Times New Roman" w:cs="Times New Roman"/>
                <w:b/>
                <w:lang w:eastAsia="it-IT" w:bidi="it-IT"/>
              </w:rPr>
              <w:t>€ 183.361,</w:t>
            </w:r>
            <w:r w:rsidRPr="00F4012A">
              <w:rPr>
                <w:rFonts w:ascii="Times New Roman" w:eastAsia="Century Gothic" w:hAnsi="Times New Roman" w:cs="Times New Roman"/>
                <w:b/>
                <w:lang w:eastAsia="it-IT" w:bidi="it-IT"/>
              </w:rPr>
              <w:t>96</w:t>
            </w:r>
            <w:r w:rsidRPr="00F4012A">
              <w:rPr>
                <w:rFonts w:ascii="Times New Roman" w:eastAsia="Century Gothic" w:hAnsi="Times New Roman" w:cs="Times New Roman"/>
                <w:lang w:eastAsia="it-IT" w:bidi="it-IT"/>
              </w:rPr>
              <w:t>.=</w:t>
            </w:r>
          </w:p>
          <w:p w:rsidR="00022CB5" w:rsidRPr="005E27C6" w:rsidRDefault="009175E9" w:rsidP="009175E9">
            <w:pPr>
              <w:spacing w:after="120"/>
              <w:jc w:val="both"/>
              <w:rPr>
                <w:rFonts w:ascii="Times New Roman" w:eastAsia="Century Gothic" w:hAnsi="Times New Roman" w:cs="Times New Roman"/>
                <w:lang w:eastAsia="it-IT" w:bidi="it-IT"/>
              </w:rPr>
            </w:pPr>
            <w:r w:rsidRPr="00F4012A">
              <w:rPr>
                <w:rFonts w:ascii="Times New Roman" w:eastAsia="Century Gothic" w:hAnsi="Times New Roman" w:cs="Times New Roman"/>
                <w:lang w:eastAsia="it-IT" w:bidi="it-IT"/>
              </w:rPr>
              <w:t>Si rende nota l’</w:t>
            </w:r>
            <w:r w:rsidR="00F86546" w:rsidRPr="00F4012A">
              <w:rPr>
                <w:rFonts w:ascii="Times New Roman" w:eastAsia="Century Gothic" w:hAnsi="Times New Roman" w:cs="Times New Roman"/>
                <w:lang w:eastAsia="it-IT" w:bidi="it-IT"/>
              </w:rPr>
              <w:t>eventuale possibilità di rimodulare il contributo richiesto fino ad un massimo del 20%</w:t>
            </w:r>
            <w:r w:rsidRPr="00F4012A">
              <w:rPr>
                <w:rFonts w:ascii="Times New Roman" w:eastAsia="Century Gothic" w:hAnsi="Times New Roman" w:cs="Times New Roman"/>
                <w:lang w:eastAsia="it-IT" w:bidi="it-IT"/>
              </w:rPr>
              <w:t>.</w:t>
            </w:r>
          </w:p>
        </w:tc>
      </w:tr>
      <w:tr w:rsidR="00181CE6" w:rsidRPr="005E27C6" w:rsidTr="005E27C6">
        <w:trPr>
          <w:trHeight w:val="1295"/>
        </w:trPr>
        <w:tc>
          <w:tcPr>
            <w:tcW w:w="1959" w:type="dxa"/>
          </w:tcPr>
          <w:p w:rsidR="00181CE6" w:rsidRPr="005E27C6" w:rsidRDefault="00181CE6" w:rsidP="0046667B">
            <w:pPr>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 xml:space="preserve">Modalità di erogazione delle risorse agli Ambiti capofila </w:t>
            </w:r>
          </w:p>
        </w:tc>
        <w:tc>
          <w:tcPr>
            <w:tcW w:w="7669" w:type="dxa"/>
          </w:tcPr>
          <w:p w:rsidR="001F04E9" w:rsidRPr="005E27C6" w:rsidRDefault="001F04E9" w:rsidP="001F04E9">
            <w:pPr>
              <w:spacing w:after="120" w:line="252" w:lineRule="auto"/>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Punto</w:t>
            </w:r>
            <w:r w:rsidR="00F86546" w:rsidRPr="005E27C6">
              <w:rPr>
                <w:rFonts w:ascii="Times New Roman" w:eastAsia="Century Gothic" w:hAnsi="Times New Roman" w:cs="Times New Roman"/>
                <w:lang w:eastAsia="it-IT" w:bidi="it-IT"/>
              </w:rPr>
              <w:t xml:space="preserve"> </w:t>
            </w:r>
            <w:r w:rsidRPr="005E27C6">
              <w:rPr>
                <w:rFonts w:ascii="Times New Roman" w:eastAsia="Century Gothic" w:hAnsi="Times New Roman" w:cs="Times New Roman"/>
                <w:lang w:eastAsia="it-IT" w:bidi="it-IT"/>
              </w:rPr>
              <w:t>8 dell’Allegato A) DGR 2609/2019</w:t>
            </w:r>
          </w:p>
          <w:p w:rsidR="00181CE6" w:rsidRPr="005E27C6" w:rsidRDefault="00181CE6" w:rsidP="00181CE6">
            <w:pPr>
              <w:pStyle w:val="Paragrafoelenco"/>
              <w:numPr>
                <w:ilvl w:val="0"/>
                <w:numId w:val="12"/>
              </w:numPr>
              <w:spacing w:after="120" w:line="252" w:lineRule="auto"/>
              <w:ind w:left="319" w:hanging="319"/>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70% a seguito di sottoscrizione della convenzione operativa</w:t>
            </w:r>
          </w:p>
          <w:p w:rsidR="00042CCA" w:rsidRPr="005E27C6" w:rsidRDefault="00181CE6" w:rsidP="00CC5E67">
            <w:pPr>
              <w:pStyle w:val="Paragrafoelenco"/>
              <w:numPr>
                <w:ilvl w:val="0"/>
                <w:numId w:val="12"/>
              </w:numPr>
              <w:spacing w:after="120" w:line="252" w:lineRule="auto"/>
              <w:ind w:left="319" w:hanging="319"/>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30% a conclusione del progetto e approvazione della relazione e rendicontazione finale</w:t>
            </w:r>
          </w:p>
        </w:tc>
      </w:tr>
      <w:tr w:rsidR="0046667B" w:rsidRPr="005E27C6" w:rsidTr="005E27C6">
        <w:trPr>
          <w:trHeight w:val="360"/>
        </w:trPr>
        <w:tc>
          <w:tcPr>
            <w:tcW w:w="1959" w:type="dxa"/>
          </w:tcPr>
          <w:p w:rsidR="0046667B" w:rsidRPr="005E27C6" w:rsidRDefault="0046667B" w:rsidP="0046667B">
            <w:pPr>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 xml:space="preserve">Termini e Modalità di rendicontazione </w:t>
            </w:r>
          </w:p>
        </w:tc>
        <w:tc>
          <w:tcPr>
            <w:tcW w:w="7669" w:type="dxa"/>
          </w:tcPr>
          <w:p w:rsidR="0046667B" w:rsidRPr="005E27C6" w:rsidRDefault="001F04E9" w:rsidP="001F04E9">
            <w:pPr>
              <w:spacing w:after="12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Rendicontazione intermedia e finale, secondo i termini che verranno definiti da RL</w:t>
            </w:r>
          </w:p>
        </w:tc>
      </w:tr>
      <w:tr w:rsidR="0046667B" w:rsidRPr="005E27C6" w:rsidTr="005E27C6">
        <w:trPr>
          <w:trHeight w:val="3092"/>
        </w:trPr>
        <w:tc>
          <w:tcPr>
            <w:tcW w:w="1959" w:type="dxa"/>
          </w:tcPr>
          <w:p w:rsidR="0046667B" w:rsidRPr="005E27C6" w:rsidRDefault="002C17A6" w:rsidP="0046667B">
            <w:pPr>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Fasi e tempistiche  di attuazione</w:t>
            </w:r>
          </w:p>
        </w:tc>
        <w:tc>
          <w:tcPr>
            <w:tcW w:w="7669" w:type="dxa"/>
          </w:tcPr>
          <w:p w:rsidR="0046667B" w:rsidRPr="005E27C6" w:rsidRDefault="00181CE6" w:rsidP="0046667B">
            <w:pPr>
              <w:spacing w:after="12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Riepilogo delle tempistiche i</w:t>
            </w:r>
            <w:r w:rsidR="002C17A6" w:rsidRPr="005E27C6">
              <w:rPr>
                <w:rFonts w:ascii="Times New Roman" w:eastAsia="Century Gothic" w:hAnsi="Times New Roman" w:cs="Times New Roman"/>
                <w:lang w:eastAsia="it-IT" w:bidi="it-IT"/>
              </w:rPr>
              <w:t>n merito a:</w:t>
            </w:r>
          </w:p>
          <w:p w:rsidR="002C17A6" w:rsidRPr="005E27C6" w:rsidRDefault="002C17A6" w:rsidP="00181CE6">
            <w:pPr>
              <w:pStyle w:val="Paragrafoelenco"/>
              <w:numPr>
                <w:ilvl w:val="1"/>
                <w:numId w:val="9"/>
              </w:numPr>
              <w:tabs>
                <w:tab w:val="clear" w:pos="1440"/>
              </w:tabs>
              <w:spacing w:after="120"/>
              <w:ind w:left="319" w:hanging="284"/>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Presentazione domande</w:t>
            </w:r>
          </w:p>
          <w:p w:rsidR="002C17A6" w:rsidRPr="005E27C6" w:rsidRDefault="002C17A6" w:rsidP="00181CE6">
            <w:pPr>
              <w:pStyle w:val="Paragrafoelenco"/>
              <w:numPr>
                <w:ilvl w:val="1"/>
                <w:numId w:val="9"/>
              </w:numPr>
              <w:tabs>
                <w:tab w:val="clear" w:pos="1440"/>
              </w:tabs>
              <w:spacing w:after="120"/>
              <w:ind w:left="319" w:hanging="284"/>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Istituzione commissione di valutazione</w:t>
            </w:r>
          </w:p>
          <w:p w:rsidR="002C17A6" w:rsidRPr="005E27C6" w:rsidRDefault="002C17A6" w:rsidP="00181CE6">
            <w:pPr>
              <w:pStyle w:val="Paragrafoelenco"/>
              <w:numPr>
                <w:ilvl w:val="1"/>
                <w:numId w:val="9"/>
              </w:numPr>
              <w:tabs>
                <w:tab w:val="clear" w:pos="1440"/>
              </w:tabs>
              <w:spacing w:after="120"/>
              <w:ind w:left="319" w:hanging="284"/>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Approvazione della graduatoria</w:t>
            </w:r>
          </w:p>
          <w:p w:rsidR="002C17A6" w:rsidRPr="005E27C6" w:rsidRDefault="00181CE6" w:rsidP="00181CE6">
            <w:pPr>
              <w:pStyle w:val="Paragrafoelenco"/>
              <w:numPr>
                <w:ilvl w:val="1"/>
                <w:numId w:val="9"/>
              </w:numPr>
              <w:tabs>
                <w:tab w:val="clear" w:pos="1440"/>
              </w:tabs>
              <w:spacing w:after="120"/>
              <w:ind w:left="319" w:hanging="284"/>
              <w:jc w:val="both"/>
              <w:rPr>
                <w:rFonts w:ascii="Times New Roman" w:eastAsia="Century Gothic" w:hAnsi="Times New Roman" w:cs="Times New Roman"/>
                <w:i/>
                <w:iCs/>
                <w:lang w:eastAsia="it-IT" w:bidi="it-IT"/>
              </w:rPr>
            </w:pPr>
            <w:r w:rsidRPr="005E27C6">
              <w:rPr>
                <w:rFonts w:ascii="Times New Roman" w:eastAsia="Century Gothic" w:hAnsi="Times New Roman" w:cs="Times New Roman"/>
                <w:lang w:eastAsia="it-IT" w:bidi="it-IT"/>
              </w:rPr>
              <w:t>Sottoscrizione Convenzione Operativa</w:t>
            </w:r>
            <w:r w:rsidR="00CC5E67" w:rsidRPr="005E27C6">
              <w:rPr>
                <w:rFonts w:ascii="Times New Roman" w:eastAsia="Century Gothic" w:hAnsi="Times New Roman" w:cs="Times New Roman"/>
                <w:lang w:eastAsia="it-IT" w:bidi="it-IT"/>
              </w:rPr>
              <w:t xml:space="preserve"> (</w:t>
            </w:r>
            <w:r w:rsidR="00CC5E67" w:rsidRPr="005E27C6">
              <w:rPr>
                <w:rFonts w:ascii="Times New Roman" w:eastAsia="Century Gothic" w:hAnsi="Times New Roman" w:cs="Times New Roman"/>
                <w:i/>
                <w:iCs/>
                <w:lang w:eastAsia="it-IT" w:bidi="it-IT"/>
              </w:rPr>
              <w:t>entro 20 giorni dall’approvazione da parte dell’ATS delle proposte ammesse a finanziamento)</w:t>
            </w:r>
          </w:p>
          <w:p w:rsidR="00181CE6" w:rsidRPr="005E27C6" w:rsidRDefault="00181CE6" w:rsidP="00181CE6">
            <w:pPr>
              <w:pStyle w:val="Paragrafoelenco"/>
              <w:numPr>
                <w:ilvl w:val="1"/>
                <w:numId w:val="9"/>
              </w:numPr>
              <w:tabs>
                <w:tab w:val="clear" w:pos="1440"/>
              </w:tabs>
              <w:spacing w:after="120"/>
              <w:ind w:left="319" w:hanging="284"/>
              <w:jc w:val="both"/>
              <w:rPr>
                <w:rFonts w:ascii="Times New Roman" w:eastAsia="Century Gothic" w:hAnsi="Times New Roman" w:cs="Times New Roman"/>
                <w:i/>
                <w:iCs/>
                <w:lang w:eastAsia="it-IT" w:bidi="it-IT"/>
              </w:rPr>
            </w:pPr>
            <w:r w:rsidRPr="005E27C6">
              <w:rPr>
                <w:rFonts w:ascii="Times New Roman" w:eastAsia="Century Gothic" w:hAnsi="Times New Roman" w:cs="Times New Roman"/>
                <w:lang w:eastAsia="it-IT" w:bidi="it-IT"/>
              </w:rPr>
              <w:t>Avvio delle attività</w:t>
            </w:r>
            <w:r w:rsidR="00CC5E67" w:rsidRPr="005E27C6">
              <w:rPr>
                <w:rFonts w:ascii="Times New Roman" w:eastAsia="Century Gothic" w:hAnsi="Times New Roman" w:cs="Times New Roman"/>
                <w:lang w:eastAsia="it-IT" w:bidi="it-IT"/>
              </w:rPr>
              <w:t xml:space="preserve"> </w:t>
            </w:r>
            <w:r w:rsidR="00CC5E67" w:rsidRPr="005E27C6">
              <w:rPr>
                <w:rFonts w:ascii="Times New Roman" w:eastAsia="Century Gothic" w:hAnsi="Times New Roman" w:cs="Times New Roman"/>
                <w:i/>
                <w:iCs/>
                <w:lang w:eastAsia="it-IT" w:bidi="it-IT"/>
              </w:rPr>
              <w:t>(dalla data di sottoscrizione della Convenzione Operativa)</w:t>
            </w:r>
          </w:p>
          <w:p w:rsidR="00181CE6" w:rsidRPr="005E27C6" w:rsidRDefault="00181CE6" w:rsidP="00181CE6">
            <w:pPr>
              <w:pStyle w:val="Paragrafoelenco"/>
              <w:numPr>
                <w:ilvl w:val="1"/>
                <w:numId w:val="9"/>
              </w:numPr>
              <w:tabs>
                <w:tab w:val="clear" w:pos="1440"/>
              </w:tabs>
              <w:spacing w:after="120"/>
              <w:ind w:left="319" w:hanging="284"/>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 xml:space="preserve">Erogazione delle risorse ai capofila </w:t>
            </w:r>
          </w:p>
          <w:p w:rsidR="00181CE6" w:rsidRPr="005E27C6" w:rsidRDefault="00181CE6" w:rsidP="00181CE6">
            <w:pPr>
              <w:pStyle w:val="Paragrafoelenco"/>
              <w:numPr>
                <w:ilvl w:val="1"/>
                <w:numId w:val="9"/>
              </w:numPr>
              <w:tabs>
                <w:tab w:val="clear" w:pos="1440"/>
              </w:tabs>
              <w:spacing w:after="120"/>
              <w:ind w:left="319" w:hanging="284"/>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Istituzione del Tavolo di Monitoraggio da parte dell’ATS</w:t>
            </w:r>
          </w:p>
          <w:p w:rsidR="00181CE6" w:rsidRPr="005E27C6" w:rsidRDefault="00181CE6" w:rsidP="00181CE6">
            <w:pPr>
              <w:pStyle w:val="Paragrafoelenco"/>
              <w:numPr>
                <w:ilvl w:val="1"/>
                <w:numId w:val="9"/>
              </w:numPr>
              <w:tabs>
                <w:tab w:val="clear" w:pos="1440"/>
              </w:tabs>
              <w:spacing w:after="120"/>
              <w:ind w:left="319" w:hanging="284"/>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Rendicontazione intermedia e finale</w:t>
            </w:r>
            <w:r w:rsidR="001F04E9" w:rsidRPr="005E27C6">
              <w:rPr>
                <w:rFonts w:ascii="Times New Roman" w:eastAsia="Century Gothic" w:hAnsi="Times New Roman" w:cs="Times New Roman"/>
                <w:lang w:eastAsia="it-IT" w:bidi="it-IT"/>
              </w:rPr>
              <w:t>, secondo i termini che verranno definiti da RL</w:t>
            </w:r>
          </w:p>
          <w:p w:rsidR="00181CE6" w:rsidRPr="005E27C6" w:rsidRDefault="00181CE6" w:rsidP="00181CE6">
            <w:pPr>
              <w:pStyle w:val="Paragrafoelenco"/>
              <w:numPr>
                <w:ilvl w:val="1"/>
                <w:numId w:val="9"/>
              </w:numPr>
              <w:tabs>
                <w:tab w:val="clear" w:pos="1440"/>
              </w:tabs>
              <w:spacing w:after="120"/>
              <w:ind w:left="319" w:hanging="284"/>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Termine ultimo per la conclusione del programma</w:t>
            </w:r>
            <w:r w:rsidR="001F04E9" w:rsidRPr="005E27C6">
              <w:rPr>
                <w:rFonts w:ascii="Times New Roman" w:eastAsia="Century Gothic" w:hAnsi="Times New Roman" w:cs="Times New Roman"/>
                <w:lang w:eastAsia="it-IT" w:bidi="it-IT"/>
              </w:rPr>
              <w:t>, secondo i termini che verranno definiti da RL</w:t>
            </w:r>
          </w:p>
        </w:tc>
      </w:tr>
      <w:tr w:rsidR="00181CE6" w:rsidRPr="00A31374" w:rsidTr="005E27C6">
        <w:trPr>
          <w:trHeight w:val="276"/>
        </w:trPr>
        <w:tc>
          <w:tcPr>
            <w:tcW w:w="1959" w:type="dxa"/>
          </w:tcPr>
          <w:p w:rsidR="00181CE6" w:rsidRPr="00B966E5" w:rsidRDefault="00181CE6" w:rsidP="0046667B">
            <w:pPr>
              <w:rPr>
                <w:rFonts w:ascii="Times New Roman" w:eastAsia="Century Gothic" w:hAnsi="Times New Roman" w:cs="Times New Roman"/>
                <w:lang w:eastAsia="it-IT" w:bidi="it-IT"/>
              </w:rPr>
            </w:pPr>
            <w:r w:rsidRPr="00B966E5">
              <w:rPr>
                <w:rFonts w:ascii="Times New Roman" w:eastAsia="Century Gothic" w:hAnsi="Times New Roman" w:cs="Times New Roman"/>
                <w:lang w:eastAsia="it-IT" w:bidi="it-IT"/>
              </w:rPr>
              <w:t>Trattamento dei dati personali</w:t>
            </w:r>
          </w:p>
        </w:tc>
        <w:tc>
          <w:tcPr>
            <w:tcW w:w="7669" w:type="dxa"/>
          </w:tcPr>
          <w:p w:rsidR="00181CE6" w:rsidRPr="00B966E5" w:rsidRDefault="00181CE6" w:rsidP="0046667B">
            <w:pPr>
              <w:spacing w:after="120"/>
              <w:jc w:val="both"/>
              <w:rPr>
                <w:rFonts w:ascii="Times New Roman" w:eastAsia="Century Gothic" w:hAnsi="Times New Roman" w:cs="Times New Roman"/>
                <w:lang w:eastAsia="it-IT" w:bidi="it-IT"/>
              </w:rPr>
            </w:pPr>
            <w:r w:rsidRPr="00B966E5">
              <w:rPr>
                <w:rFonts w:ascii="Times New Roman" w:eastAsia="Century Gothic" w:hAnsi="Times New Roman" w:cs="Times New Roman"/>
                <w:lang w:eastAsia="it-IT" w:bidi="it-IT"/>
              </w:rPr>
              <w:t>Informativa privacy</w:t>
            </w:r>
            <w:r w:rsidR="00C05CDD" w:rsidRPr="00B966E5">
              <w:rPr>
                <w:rFonts w:ascii="Times New Roman" w:eastAsia="Century Gothic" w:hAnsi="Times New Roman" w:cs="Times New Roman"/>
                <w:lang w:eastAsia="it-IT" w:bidi="it-IT"/>
              </w:rPr>
              <w:t xml:space="preserve"> ai sensi e per gli effetti del regolamento UE 20</w:t>
            </w:r>
            <w:r w:rsidR="00C70C33">
              <w:rPr>
                <w:rFonts w:ascii="Times New Roman" w:eastAsia="Century Gothic" w:hAnsi="Times New Roman" w:cs="Times New Roman"/>
                <w:lang w:eastAsia="it-IT" w:bidi="it-IT"/>
              </w:rPr>
              <w:t>1</w:t>
            </w:r>
            <w:r w:rsidR="00C05CDD" w:rsidRPr="00B966E5">
              <w:rPr>
                <w:rFonts w:ascii="Times New Roman" w:eastAsia="Century Gothic" w:hAnsi="Times New Roman" w:cs="Times New Roman"/>
                <w:lang w:eastAsia="it-IT" w:bidi="it-IT"/>
              </w:rPr>
              <w:t>6/679 (“RGPD”) e della normativa italiana vigente</w:t>
            </w:r>
            <w:r w:rsidR="00F4012A">
              <w:rPr>
                <w:rFonts w:ascii="Times New Roman" w:eastAsia="Century Gothic" w:hAnsi="Times New Roman" w:cs="Times New Roman"/>
                <w:lang w:eastAsia="it-IT" w:bidi="it-IT"/>
              </w:rPr>
              <w:t xml:space="preserve"> (</w:t>
            </w:r>
            <w:r w:rsidR="00B966E5" w:rsidRPr="00B966E5">
              <w:rPr>
                <w:rFonts w:ascii="Times New Roman" w:eastAsia="Century Gothic" w:hAnsi="Times New Roman" w:cs="Times New Roman"/>
                <w:lang w:eastAsia="it-IT" w:bidi="it-IT"/>
              </w:rPr>
              <w:t>Allegato 1</w:t>
            </w:r>
            <w:r w:rsidR="00F4012A">
              <w:rPr>
                <w:rFonts w:ascii="Times New Roman" w:eastAsia="Century Gothic" w:hAnsi="Times New Roman" w:cs="Times New Roman"/>
                <w:lang w:eastAsia="it-IT" w:bidi="it-IT"/>
              </w:rPr>
              <w:t>A)</w:t>
            </w:r>
            <w:r w:rsidR="00375699">
              <w:rPr>
                <w:rFonts w:ascii="Times New Roman" w:eastAsia="Century Gothic" w:hAnsi="Times New Roman" w:cs="Times New Roman"/>
                <w:lang w:eastAsia="it-IT" w:bidi="it-IT"/>
              </w:rPr>
              <w:t>.</w:t>
            </w:r>
          </w:p>
        </w:tc>
      </w:tr>
      <w:tr w:rsidR="00181CE6" w:rsidRPr="0097438A" w:rsidTr="005E27C6">
        <w:trPr>
          <w:trHeight w:val="276"/>
        </w:trPr>
        <w:tc>
          <w:tcPr>
            <w:tcW w:w="1959" w:type="dxa"/>
          </w:tcPr>
          <w:p w:rsidR="00181CE6" w:rsidRPr="0097438A" w:rsidRDefault="00181CE6" w:rsidP="0046667B">
            <w:pPr>
              <w:rPr>
                <w:rFonts w:ascii="Times New Roman" w:eastAsia="Century Gothic" w:hAnsi="Times New Roman" w:cs="Times New Roman"/>
                <w:lang w:eastAsia="it-IT" w:bidi="it-IT"/>
              </w:rPr>
            </w:pPr>
            <w:r w:rsidRPr="0097438A">
              <w:rPr>
                <w:rFonts w:ascii="Times New Roman" w:eastAsia="Century Gothic" w:hAnsi="Times New Roman" w:cs="Times New Roman"/>
                <w:lang w:eastAsia="it-IT" w:bidi="it-IT"/>
              </w:rPr>
              <w:t>Responsabile del procedimento</w:t>
            </w:r>
          </w:p>
        </w:tc>
        <w:tc>
          <w:tcPr>
            <w:tcW w:w="7669" w:type="dxa"/>
          </w:tcPr>
          <w:p w:rsidR="00181CE6" w:rsidRPr="0097438A" w:rsidRDefault="00B966E5" w:rsidP="0046667B">
            <w:pPr>
              <w:spacing w:after="120"/>
              <w:jc w:val="both"/>
              <w:rPr>
                <w:rFonts w:ascii="Times New Roman" w:eastAsia="Century Gothic" w:hAnsi="Times New Roman" w:cs="Times New Roman"/>
                <w:lang w:eastAsia="it-IT" w:bidi="it-IT"/>
              </w:rPr>
            </w:pPr>
            <w:r w:rsidRPr="0097438A">
              <w:rPr>
                <w:rFonts w:ascii="Times New Roman" w:eastAsia="Century Gothic" w:hAnsi="Times New Roman" w:cs="Times New Roman"/>
                <w:lang w:eastAsia="it-IT" w:bidi="it-IT"/>
              </w:rPr>
              <w:t xml:space="preserve">Il Direttore del Dipartimento </w:t>
            </w:r>
            <w:r w:rsidR="00EB4CFD" w:rsidRPr="0097438A">
              <w:rPr>
                <w:rFonts w:ascii="Times New Roman" w:eastAsia="Century Gothic" w:hAnsi="Times New Roman" w:cs="Times New Roman"/>
                <w:lang w:eastAsia="it-IT" w:bidi="it-IT"/>
              </w:rPr>
              <w:t>di Igiene e Prevenzione Sanitaria</w:t>
            </w:r>
          </w:p>
        </w:tc>
      </w:tr>
      <w:tr w:rsidR="00181CE6" w:rsidRPr="0097438A" w:rsidTr="005E27C6">
        <w:trPr>
          <w:trHeight w:val="276"/>
        </w:trPr>
        <w:tc>
          <w:tcPr>
            <w:tcW w:w="1959" w:type="dxa"/>
          </w:tcPr>
          <w:p w:rsidR="00181CE6" w:rsidRPr="0097438A" w:rsidRDefault="00181CE6" w:rsidP="0046667B">
            <w:pPr>
              <w:rPr>
                <w:rFonts w:ascii="Times New Roman" w:eastAsia="Century Gothic" w:hAnsi="Times New Roman" w:cs="Times New Roman"/>
                <w:lang w:eastAsia="it-IT" w:bidi="it-IT"/>
              </w:rPr>
            </w:pPr>
            <w:r w:rsidRPr="0097438A">
              <w:rPr>
                <w:rFonts w:ascii="Times New Roman" w:eastAsia="Century Gothic" w:hAnsi="Times New Roman" w:cs="Times New Roman"/>
                <w:lang w:eastAsia="it-IT" w:bidi="it-IT"/>
              </w:rPr>
              <w:t>Pubblicazione, informazione e contatti</w:t>
            </w:r>
          </w:p>
        </w:tc>
        <w:tc>
          <w:tcPr>
            <w:tcW w:w="7669" w:type="dxa"/>
          </w:tcPr>
          <w:p w:rsidR="0097438A" w:rsidRPr="0097438A" w:rsidRDefault="00EB4CFD" w:rsidP="0046667B">
            <w:pPr>
              <w:spacing w:after="120"/>
              <w:jc w:val="both"/>
              <w:rPr>
                <w:rFonts w:ascii="Times New Roman" w:eastAsia="Century Gothic" w:hAnsi="Times New Roman" w:cs="Times New Roman"/>
                <w:b/>
                <w:lang w:eastAsia="it-IT" w:bidi="it-IT"/>
              </w:rPr>
            </w:pPr>
            <w:r w:rsidRPr="0097438A">
              <w:rPr>
                <w:rFonts w:ascii="Times New Roman" w:eastAsia="Century Gothic" w:hAnsi="Times New Roman" w:cs="Times New Roman"/>
                <w:lang w:eastAsia="it-IT" w:bidi="it-IT"/>
              </w:rPr>
              <w:t>L</w:t>
            </w:r>
            <w:r w:rsidR="00181CE6" w:rsidRPr="0097438A">
              <w:rPr>
                <w:rFonts w:ascii="Times New Roman" w:eastAsia="Century Gothic" w:hAnsi="Times New Roman" w:cs="Times New Roman"/>
                <w:lang w:eastAsia="it-IT" w:bidi="it-IT"/>
              </w:rPr>
              <w:t>a Manifestazione di interesse e la relativa modu</w:t>
            </w:r>
            <w:r w:rsidR="008F0155" w:rsidRPr="0097438A">
              <w:rPr>
                <w:rFonts w:ascii="Times New Roman" w:eastAsia="Century Gothic" w:hAnsi="Times New Roman" w:cs="Times New Roman"/>
                <w:lang w:eastAsia="it-IT" w:bidi="it-IT"/>
              </w:rPr>
              <w:t>l</w:t>
            </w:r>
            <w:r w:rsidR="00181CE6" w:rsidRPr="0097438A">
              <w:rPr>
                <w:rFonts w:ascii="Times New Roman" w:eastAsia="Century Gothic" w:hAnsi="Times New Roman" w:cs="Times New Roman"/>
                <w:lang w:eastAsia="it-IT" w:bidi="it-IT"/>
              </w:rPr>
              <w:t>istica</w:t>
            </w:r>
            <w:r w:rsidRPr="0097438A">
              <w:rPr>
                <w:rFonts w:ascii="Times New Roman" w:eastAsia="Century Gothic" w:hAnsi="Times New Roman" w:cs="Times New Roman"/>
                <w:lang w:eastAsia="it-IT" w:bidi="it-IT"/>
              </w:rPr>
              <w:t xml:space="preserve"> sono pubblicate sul sito istituzionale di ATS della Brianza </w:t>
            </w:r>
            <w:hyperlink r:id="rId8" w:history="1">
              <w:r w:rsidR="0097438A" w:rsidRPr="0097438A">
                <w:rPr>
                  <w:rStyle w:val="Collegamentoipertestuale"/>
                  <w:rFonts w:ascii="Times New Roman" w:eastAsia="Century Gothic" w:hAnsi="Times New Roman" w:cs="Times New Roman"/>
                  <w:b/>
                  <w:lang w:eastAsia="it-IT" w:bidi="it-IT"/>
                </w:rPr>
                <w:t>www.ats-brianza.it</w:t>
              </w:r>
            </w:hyperlink>
            <w:r w:rsidR="0097438A" w:rsidRPr="0097438A">
              <w:rPr>
                <w:rFonts w:ascii="Times New Roman" w:eastAsia="Century Gothic" w:hAnsi="Times New Roman" w:cs="Times New Roman"/>
                <w:b/>
                <w:lang w:eastAsia="it-IT" w:bidi="it-IT"/>
              </w:rPr>
              <w:t xml:space="preserve"> .</w:t>
            </w:r>
          </w:p>
          <w:p w:rsidR="00181CE6" w:rsidRDefault="0097438A" w:rsidP="0046667B">
            <w:pPr>
              <w:spacing w:after="120"/>
              <w:jc w:val="both"/>
              <w:rPr>
                <w:rFonts w:ascii="Times New Roman" w:eastAsia="Century Gothic" w:hAnsi="Times New Roman" w:cs="Times New Roman"/>
                <w:lang w:eastAsia="it-IT" w:bidi="it-IT"/>
              </w:rPr>
            </w:pPr>
            <w:r w:rsidRPr="0097438A">
              <w:rPr>
                <w:rFonts w:ascii="Times New Roman" w:eastAsia="Century Gothic" w:hAnsi="Times New Roman" w:cs="Times New Roman"/>
                <w:lang w:eastAsia="it-IT" w:bidi="it-IT"/>
              </w:rPr>
              <w:t>C</w:t>
            </w:r>
            <w:r w:rsidR="00181CE6" w:rsidRPr="0097438A">
              <w:rPr>
                <w:rFonts w:ascii="Times New Roman" w:eastAsia="Century Gothic" w:hAnsi="Times New Roman" w:cs="Times New Roman"/>
                <w:lang w:eastAsia="it-IT" w:bidi="it-IT"/>
              </w:rPr>
              <w:t>ontatti per eventuali richieste di chiarimento</w:t>
            </w:r>
            <w:r w:rsidRPr="0097438A">
              <w:rPr>
                <w:rFonts w:ascii="Times New Roman" w:eastAsia="Century Gothic" w:hAnsi="Times New Roman" w:cs="Times New Roman"/>
                <w:lang w:eastAsia="it-IT" w:bidi="it-IT"/>
              </w:rPr>
              <w:t>:</w:t>
            </w:r>
          </w:p>
          <w:p w:rsidR="0097438A" w:rsidRPr="00C77D1F" w:rsidRDefault="00C77D1F" w:rsidP="0046667B">
            <w:pPr>
              <w:spacing w:after="120"/>
              <w:jc w:val="both"/>
              <w:rPr>
                <w:rFonts w:ascii="Times New Roman" w:eastAsia="Century Gothic" w:hAnsi="Times New Roman" w:cs="Times New Roman"/>
                <w:u w:val="single"/>
                <w:lang w:eastAsia="it-IT" w:bidi="it-IT"/>
              </w:rPr>
            </w:pPr>
            <w:r w:rsidRPr="00C77D1F">
              <w:rPr>
                <w:rFonts w:ascii="Times New Roman" w:eastAsia="Century Gothic" w:hAnsi="Times New Roman" w:cs="Times New Roman"/>
                <w:lang w:eastAsia="it-IT" w:bidi="it-IT"/>
              </w:rPr>
              <w:t xml:space="preserve">Ornella Perego </w:t>
            </w:r>
            <w:r>
              <w:rPr>
                <w:rFonts w:ascii="Times New Roman" w:eastAsia="Century Gothic" w:hAnsi="Times New Roman" w:cs="Times New Roman"/>
                <w:lang w:eastAsia="it-IT" w:bidi="it-IT"/>
              </w:rPr>
              <w:t xml:space="preserve">- </w:t>
            </w:r>
            <w:r w:rsidRPr="00C77D1F">
              <w:rPr>
                <w:rFonts w:ascii="Times New Roman" w:eastAsia="Century Gothic" w:hAnsi="Times New Roman" w:cs="Times New Roman"/>
                <w:lang w:eastAsia="it-IT" w:bidi="it-IT"/>
              </w:rPr>
              <w:t>tel. 039 3940248</w:t>
            </w:r>
            <w:r w:rsidRPr="00F9612E">
              <w:rPr>
                <w:rFonts w:ascii="Arial" w:hAnsi="Arial" w:cs="Arial"/>
              </w:rPr>
              <w:t xml:space="preserve"> – </w:t>
            </w:r>
            <w:hyperlink r:id="rId9" w:history="1">
              <w:r w:rsidRPr="00C77D1F">
                <w:rPr>
                  <w:rFonts w:ascii="Times New Roman" w:eastAsia="Century Gothic" w:hAnsi="Times New Roman" w:cs="Times New Roman"/>
                  <w:u w:val="single"/>
                  <w:lang w:eastAsia="it-IT" w:bidi="it-IT"/>
                </w:rPr>
                <w:t>ornella.perego@ats-brianza.it</w:t>
              </w:r>
            </w:hyperlink>
          </w:p>
          <w:p w:rsidR="00181CE6" w:rsidRPr="0097438A" w:rsidRDefault="00B966E5" w:rsidP="00B966E5">
            <w:pPr>
              <w:spacing w:after="120"/>
              <w:jc w:val="both"/>
              <w:rPr>
                <w:rFonts w:ascii="Times New Roman" w:eastAsia="Century Gothic" w:hAnsi="Times New Roman" w:cs="Times New Roman"/>
                <w:lang w:eastAsia="it-IT" w:bidi="it-IT"/>
              </w:rPr>
            </w:pPr>
            <w:r w:rsidRPr="0097438A">
              <w:rPr>
                <w:rFonts w:ascii="Times New Roman" w:eastAsia="Century Gothic" w:hAnsi="Times New Roman" w:cs="Times New Roman"/>
                <w:lang w:eastAsia="it-IT" w:bidi="it-IT"/>
              </w:rPr>
              <w:t>P</w:t>
            </w:r>
            <w:r w:rsidR="00181CE6" w:rsidRPr="0097438A">
              <w:rPr>
                <w:rFonts w:ascii="Times New Roman" w:eastAsia="Century Gothic" w:hAnsi="Times New Roman" w:cs="Times New Roman"/>
                <w:lang w:eastAsia="it-IT" w:bidi="it-IT"/>
              </w:rPr>
              <w:t xml:space="preserve">er quanto non espressamente previsto dalla </w:t>
            </w:r>
            <w:r w:rsidRPr="0097438A">
              <w:rPr>
                <w:rFonts w:ascii="Times New Roman" w:eastAsia="Century Gothic" w:hAnsi="Times New Roman" w:cs="Times New Roman"/>
                <w:lang w:eastAsia="it-IT" w:bidi="it-IT"/>
              </w:rPr>
              <w:t xml:space="preserve">presente </w:t>
            </w:r>
            <w:r w:rsidR="00181CE6" w:rsidRPr="0097438A">
              <w:rPr>
                <w:rFonts w:ascii="Times New Roman" w:eastAsia="Century Gothic" w:hAnsi="Times New Roman" w:cs="Times New Roman"/>
                <w:lang w:eastAsia="it-IT" w:bidi="it-IT"/>
              </w:rPr>
              <w:t>Manifestazione di interesse</w:t>
            </w:r>
            <w:r w:rsidRPr="0097438A">
              <w:rPr>
                <w:rFonts w:ascii="Times New Roman" w:eastAsia="Century Gothic" w:hAnsi="Times New Roman" w:cs="Times New Roman"/>
                <w:lang w:eastAsia="it-IT" w:bidi="it-IT"/>
              </w:rPr>
              <w:t>, si rinvia alla DGR 2609/2019</w:t>
            </w:r>
            <w:r w:rsidR="00B41AA7" w:rsidRPr="0097438A">
              <w:rPr>
                <w:rFonts w:ascii="Times New Roman" w:eastAsia="Century Gothic" w:hAnsi="Times New Roman" w:cs="Times New Roman"/>
                <w:lang w:eastAsia="it-IT" w:bidi="it-IT"/>
              </w:rPr>
              <w:t>.</w:t>
            </w:r>
          </w:p>
        </w:tc>
      </w:tr>
      <w:tr w:rsidR="008F0155" w:rsidRPr="005E27C6" w:rsidTr="005E27C6">
        <w:trPr>
          <w:trHeight w:val="276"/>
        </w:trPr>
        <w:tc>
          <w:tcPr>
            <w:tcW w:w="1959" w:type="dxa"/>
          </w:tcPr>
          <w:p w:rsidR="008F0155" w:rsidRPr="0097438A" w:rsidRDefault="008F0155" w:rsidP="0046667B">
            <w:pPr>
              <w:rPr>
                <w:rFonts w:ascii="Times New Roman" w:eastAsia="Century Gothic" w:hAnsi="Times New Roman" w:cs="Times New Roman"/>
                <w:lang w:eastAsia="it-IT" w:bidi="it-IT"/>
              </w:rPr>
            </w:pPr>
            <w:r w:rsidRPr="0097438A">
              <w:rPr>
                <w:rFonts w:ascii="Times New Roman" w:eastAsia="Century Gothic" w:hAnsi="Times New Roman" w:cs="Times New Roman"/>
                <w:lang w:eastAsia="it-IT" w:bidi="it-IT"/>
              </w:rPr>
              <w:t>Diritto di accesso agli atti</w:t>
            </w:r>
          </w:p>
        </w:tc>
        <w:tc>
          <w:tcPr>
            <w:tcW w:w="7669" w:type="dxa"/>
          </w:tcPr>
          <w:p w:rsidR="008F0155" w:rsidRPr="005E27C6" w:rsidRDefault="001F04E9" w:rsidP="0046667B">
            <w:pPr>
              <w:spacing w:after="120"/>
              <w:jc w:val="both"/>
              <w:rPr>
                <w:rFonts w:ascii="Times New Roman" w:eastAsia="Century Gothic" w:hAnsi="Times New Roman" w:cs="Times New Roman"/>
                <w:lang w:eastAsia="it-IT" w:bidi="it-IT"/>
              </w:rPr>
            </w:pPr>
            <w:r w:rsidRPr="0097438A">
              <w:rPr>
                <w:rFonts w:ascii="Times New Roman" w:eastAsia="Century Gothic" w:hAnsi="Times New Roman" w:cs="Times New Roman"/>
                <w:lang w:eastAsia="it-IT" w:bidi="it-IT"/>
              </w:rPr>
              <w:t>Indicazioni di legge</w:t>
            </w:r>
          </w:p>
        </w:tc>
      </w:tr>
      <w:tr w:rsidR="006B4EB3" w:rsidRPr="005E27C6" w:rsidTr="005E27C6">
        <w:trPr>
          <w:trHeight w:val="276"/>
        </w:trPr>
        <w:tc>
          <w:tcPr>
            <w:tcW w:w="1959" w:type="dxa"/>
            <w:shd w:val="clear" w:color="auto" w:fill="auto"/>
          </w:tcPr>
          <w:p w:rsidR="00566CBA" w:rsidRPr="005E27C6" w:rsidRDefault="00566CBA" w:rsidP="00566CBA">
            <w:pPr>
              <w:pStyle w:val="Titolo1"/>
              <w:spacing w:before="99"/>
              <w:outlineLvl w:val="0"/>
              <w:rPr>
                <w:rFonts w:ascii="Times New Roman" w:eastAsia="Century Gothic" w:hAnsi="Times New Roman" w:cs="Times New Roman"/>
                <w:color w:val="auto"/>
                <w:sz w:val="22"/>
                <w:szCs w:val="22"/>
                <w:lang w:eastAsia="it-IT" w:bidi="it-IT"/>
              </w:rPr>
            </w:pPr>
            <w:r w:rsidRPr="005E27C6">
              <w:rPr>
                <w:rFonts w:ascii="Times New Roman" w:eastAsia="Century Gothic" w:hAnsi="Times New Roman" w:cs="Times New Roman"/>
                <w:color w:val="auto"/>
                <w:sz w:val="22"/>
                <w:szCs w:val="22"/>
                <w:lang w:eastAsia="it-IT" w:bidi="it-IT"/>
              </w:rPr>
              <w:t xml:space="preserve">Pubblicazioni, materiali di comunicazione  e </w:t>
            </w:r>
          </w:p>
          <w:p w:rsidR="006B4EB3" w:rsidRPr="005E27C6" w:rsidRDefault="00566CBA" w:rsidP="0046667B">
            <w:pPr>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 xml:space="preserve">layout loghi e marchi </w:t>
            </w:r>
          </w:p>
        </w:tc>
        <w:tc>
          <w:tcPr>
            <w:tcW w:w="7669" w:type="dxa"/>
          </w:tcPr>
          <w:p w:rsidR="00566CBA" w:rsidRPr="005E27C6" w:rsidRDefault="00566CBA" w:rsidP="00566CBA">
            <w:pPr>
              <w:pStyle w:val="Corpotesto"/>
              <w:tabs>
                <w:tab w:val="left" w:pos="7679"/>
              </w:tabs>
              <w:spacing w:before="1" w:after="120" w:line="252" w:lineRule="auto"/>
              <w:rPr>
                <w:rFonts w:ascii="Times New Roman" w:hAnsi="Times New Roman" w:cs="Times New Roman"/>
                <w:sz w:val="22"/>
                <w:szCs w:val="22"/>
              </w:rPr>
            </w:pPr>
            <w:r w:rsidRPr="005E27C6">
              <w:rPr>
                <w:rFonts w:ascii="Times New Roman" w:hAnsi="Times New Roman" w:cs="Times New Roman"/>
                <w:sz w:val="22"/>
                <w:szCs w:val="22"/>
              </w:rPr>
              <w:t>I risultati dell</w:t>
            </w:r>
            <w:r w:rsidR="000279A6" w:rsidRPr="005E27C6">
              <w:rPr>
                <w:rFonts w:ascii="Times New Roman" w:hAnsi="Times New Roman" w:cs="Times New Roman"/>
                <w:sz w:val="22"/>
                <w:szCs w:val="22"/>
              </w:rPr>
              <w:t xml:space="preserve">e </w:t>
            </w:r>
            <w:r w:rsidRPr="005E27C6">
              <w:rPr>
                <w:rFonts w:ascii="Times New Roman" w:hAnsi="Times New Roman" w:cs="Times New Roman"/>
                <w:sz w:val="22"/>
                <w:szCs w:val="22"/>
              </w:rPr>
              <w:t>attività, saranno condivisi tra</w:t>
            </w:r>
            <w:r w:rsidR="00EB4CFD">
              <w:rPr>
                <w:rFonts w:ascii="Times New Roman" w:hAnsi="Times New Roman" w:cs="Times New Roman"/>
                <w:sz w:val="22"/>
                <w:szCs w:val="22"/>
              </w:rPr>
              <w:t xml:space="preserve"> l’</w:t>
            </w:r>
            <w:r w:rsidRPr="005E27C6">
              <w:rPr>
                <w:rFonts w:ascii="Times New Roman" w:hAnsi="Times New Roman" w:cs="Times New Roman"/>
                <w:sz w:val="22"/>
                <w:szCs w:val="22"/>
              </w:rPr>
              <w:t>ATS</w:t>
            </w:r>
            <w:r w:rsidR="00EB4CFD">
              <w:rPr>
                <w:rFonts w:ascii="Times New Roman" w:hAnsi="Times New Roman" w:cs="Times New Roman"/>
                <w:sz w:val="22"/>
                <w:szCs w:val="22"/>
              </w:rPr>
              <w:t xml:space="preserve"> della Brianza</w:t>
            </w:r>
            <w:r w:rsidRPr="005E27C6">
              <w:rPr>
                <w:rFonts w:ascii="Times New Roman" w:hAnsi="Times New Roman" w:cs="Times New Roman"/>
                <w:sz w:val="22"/>
                <w:szCs w:val="22"/>
              </w:rPr>
              <w:t xml:space="preserve"> e l’Ente; il loro utilizzo sarà libero, con il solo obbligo di citare, nelle eventuali pubblicazioni che potrebbero derivare, che i risultati esposti sono stati realizzati con il contributo della Direzione Generale Politiche Sociali, Abitative e Disabilità – Giunta Regione Lombardia.</w:t>
            </w:r>
          </w:p>
          <w:p w:rsidR="00566CBA" w:rsidRPr="005E27C6" w:rsidRDefault="001F04E9" w:rsidP="00055AAC">
            <w:pPr>
              <w:spacing w:after="12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 xml:space="preserve">Tutte le iniziative di comunicazione e informazione dovranno riportare </w:t>
            </w:r>
            <w:r w:rsidR="0034545E" w:rsidRPr="005E27C6">
              <w:rPr>
                <w:rFonts w:ascii="Times New Roman" w:eastAsia="Century Gothic" w:hAnsi="Times New Roman" w:cs="Times New Roman"/>
                <w:lang w:eastAsia="it-IT" w:bidi="it-IT"/>
              </w:rPr>
              <w:t xml:space="preserve">anche il logo regionale, </w:t>
            </w:r>
            <w:r w:rsidRPr="005E27C6">
              <w:rPr>
                <w:rFonts w:ascii="Times New Roman" w:eastAsia="Century Gothic" w:hAnsi="Times New Roman" w:cs="Times New Roman"/>
                <w:lang w:eastAsia="it-IT" w:bidi="it-IT"/>
              </w:rPr>
              <w:t>il logo di ATS</w:t>
            </w:r>
            <w:r w:rsidR="00EB4CFD">
              <w:rPr>
                <w:rFonts w:ascii="Times New Roman" w:eastAsia="Century Gothic" w:hAnsi="Times New Roman" w:cs="Times New Roman"/>
                <w:lang w:eastAsia="it-IT" w:bidi="it-IT"/>
              </w:rPr>
              <w:t xml:space="preserve"> della </w:t>
            </w:r>
            <w:r w:rsidR="00055AAC">
              <w:rPr>
                <w:rFonts w:ascii="Times New Roman" w:eastAsia="Century Gothic" w:hAnsi="Times New Roman" w:cs="Times New Roman"/>
                <w:lang w:eastAsia="it-IT" w:bidi="it-IT"/>
              </w:rPr>
              <w:t>B</w:t>
            </w:r>
            <w:r w:rsidR="00EB4CFD">
              <w:rPr>
                <w:rFonts w:ascii="Times New Roman" w:eastAsia="Century Gothic" w:hAnsi="Times New Roman" w:cs="Times New Roman"/>
                <w:lang w:eastAsia="it-IT" w:bidi="it-IT"/>
              </w:rPr>
              <w:t>rianza</w:t>
            </w:r>
            <w:r w:rsidRPr="005E27C6">
              <w:rPr>
                <w:rFonts w:ascii="Times New Roman" w:eastAsia="Century Gothic" w:hAnsi="Times New Roman" w:cs="Times New Roman"/>
                <w:lang w:eastAsia="it-IT" w:bidi="it-IT"/>
              </w:rPr>
              <w:t xml:space="preserve"> e il marchio regionale NoSlot (DGR 2589/2014) secondo le indicazioni fornite nel documento</w:t>
            </w:r>
            <w:r w:rsidR="00695F2F">
              <w:rPr>
                <w:rFonts w:ascii="Times New Roman" w:eastAsia="Century Gothic" w:hAnsi="Times New Roman" w:cs="Times New Roman"/>
                <w:lang w:eastAsia="it-IT" w:bidi="it-IT"/>
              </w:rPr>
              <w:t xml:space="preserve"> </w:t>
            </w:r>
            <w:r w:rsidRPr="005E27C6">
              <w:rPr>
                <w:rFonts w:ascii="Times New Roman" w:eastAsia="Century Gothic" w:hAnsi="Times New Roman" w:cs="Times New Roman"/>
                <w:lang w:eastAsia="it-IT" w:bidi="it-IT"/>
              </w:rPr>
              <w:t xml:space="preserve">”Indicazioni per il corretto </w:t>
            </w:r>
            <w:r w:rsidR="0055615A" w:rsidRPr="005E27C6">
              <w:rPr>
                <w:rFonts w:ascii="Times New Roman" w:eastAsia="Century Gothic" w:hAnsi="Times New Roman" w:cs="Times New Roman"/>
                <w:lang w:eastAsia="it-IT" w:bidi="it-IT"/>
              </w:rPr>
              <w:t>utilizzo e rilascio del marchio NoSlot” (Allegato alla DGR 2589/2014)</w:t>
            </w:r>
          </w:p>
        </w:tc>
      </w:tr>
    </w:tbl>
    <w:p w:rsidR="003C4F09" w:rsidRPr="005E27C6" w:rsidRDefault="003C4F09">
      <w:pPr>
        <w:rPr>
          <w:rFonts w:ascii="Times New Roman" w:hAnsi="Times New Roman" w:cs="Times New Roman"/>
          <w:color w:val="000000"/>
          <w:sz w:val="24"/>
          <w:szCs w:val="24"/>
        </w:rPr>
      </w:pPr>
    </w:p>
    <w:p w:rsidR="003C4F09" w:rsidRPr="005E27C6" w:rsidRDefault="003C4F09">
      <w:pPr>
        <w:rPr>
          <w:rFonts w:ascii="Times New Roman" w:hAnsi="Times New Roman" w:cs="Times New Roman"/>
          <w:color w:val="000000"/>
          <w:sz w:val="24"/>
          <w:szCs w:val="24"/>
        </w:rPr>
      </w:pPr>
    </w:p>
    <w:p w:rsidR="00D4575C" w:rsidRDefault="00D4575C"/>
    <w:sectPr w:rsidR="00D4575C" w:rsidSect="009D2487">
      <w:footerReference w:type="default" r:id="rId10"/>
      <w:pgSz w:w="11906" w:h="16838"/>
      <w:pgMar w:top="709" w:right="1134" w:bottom="709" w:left="1134" w:header="709" w:footer="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B30" w:rsidRDefault="003A4B30" w:rsidP="0046667B">
      <w:pPr>
        <w:spacing w:after="0" w:line="240" w:lineRule="auto"/>
      </w:pPr>
      <w:r>
        <w:separator/>
      </w:r>
    </w:p>
  </w:endnote>
  <w:endnote w:type="continuationSeparator" w:id="0">
    <w:p w:rsidR="003A4B30" w:rsidRDefault="003A4B30" w:rsidP="0046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967736"/>
      <w:docPartObj>
        <w:docPartGallery w:val="Page Numbers (Bottom of Page)"/>
        <w:docPartUnique/>
      </w:docPartObj>
    </w:sdtPr>
    <w:sdtEndPr/>
    <w:sdtContent>
      <w:p w:rsidR="003A4B30" w:rsidRDefault="003A4B30">
        <w:pPr>
          <w:pStyle w:val="Pidipagina"/>
          <w:jc w:val="right"/>
        </w:pPr>
      </w:p>
      <w:p w:rsidR="003A4B30" w:rsidRDefault="00D40903">
        <w:pPr>
          <w:pStyle w:val="Pidipagina"/>
          <w:jc w:val="right"/>
        </w:pPr>
        <w:r>
          <w:rPr>
            <w:noProof/>
          </w:rPr>
          <w:fldChar w:fldCharType="begin"/>
        </w:r>
        <w:r w:rsidR="00695F2F">
          <w:rPr>
            <w:noProof/>
          </w:rPr>
          <w:instrText>PAGE   \* MERGEFORMAT</w:instrText>
        </w:r>
        <w:r>
          <w:rPr>
            <w:noProof/>
          </w:rPr>
          <w:fldChar w:fldCharType="separate"/>
        </w:r>
        <w:r w:rsidR="00CE189E">
          <w:rPr>
            <w:noProof/>
          </w:rPr>
          <w:t>5</w:t>
        </w:r>
        <w:r>
          <w:rPr>
            <w:noProof/>
          </w:rPr>
          <w:fldChar w:fldCharType="end"/>
        </w:r>
      </w:p>
    </w:sdtContent>
  </w:sdt>
  <w:p w:rsidR="003A4B30" w:rsidRDefault="003A4B3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B30" w:rsidRDefault="003A4B30" w:rsidP="0046667B">
      <w:pPr>
        <w:spacing w:after="0" w:line="240" w:lineRule="auto"/>
      </w:pPr>
      <w:r>
        <w:separator/>
      </w:r>
    </w:p>
  </w:footnote>
  <w:footnote w:type="continuationSeparator" w:id="0">
    <w:p w:rsidR="003A4B30" w:rsidRDefault="003A4B30" w:rsidP="004666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4085"/>
    <w:multiLevelType w:val="hybridMultilevel"/>
    <w:tmpl w:val="C1D47E72"/>
    <w:lvl w:ilvl="0" w:tplc="0AE080A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9F2A74"/>
    <w:multiLevelType w:val="hybridMultilevel"/>
    <w:tmpl w:val="9F90FB5A"/>
    <w:lvl w:ilvl="0" w:tplc="DA3CA776">
      <w:numFmt w:val="bullet"/>
      <w:lvlText w:val="-"/>
      <w:lvlJc w:val="left"/>
      <w:pPr>
        <w:ind w:left="720" w:hanging="360"/>
      </w:pPr>
      <w:rPr>
        <w:rFonts w:ascii="Century Gothic" w:eastAsia="Century Gothic"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B71DE8"/>
    <w:multiLevelType w:val="hybridMultilevel"/>
    <w:tmpl w:val="08F26BDC"/>
    <w:lvl w:ilvl="0" w:tplc="DA3CA776">
      <w:numFmt w:val="bullet"/>
      <w:lvlText w:val="-"/>
      <w:lvlJc w:val="left"/>
      <w:pPr>
        <w:ind w:left="720" w:hanging="360"/>
      </w:pPr>
      <w:rPr>
        <w:rFonts w:ascii="Century Gothic" w:eastAsia="Century Gothic"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6B3E18"/>
    <w:multiLevelType w:val="hybridMultilevel"/>
    <w:tmpl w:val="A678D4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257CCE"/>
    <w:multiLevelType w:val="hybridMultilevel"/>
    <w:tmpl w:val="53B0E79A"/>
    <w:lvl w:ilvl="0" w:tplc="F9E43BE2">
      <w:start w:val="1"/>
      <w:numFmt w:val="bullet"/>
      <w:lvlText w:val=""/>
      <w:lvlJc w:val="left"/>
      <w:pPr>
        <w:tabs>
          <w:tab w:val="num" w:pos="720"/>
        </w:tabs>
        <w:ind w:left="720" w:hanging="360"/>
      </w:pPr>
      <w:rPr>
        <w:rFonts w:ascii="Wingdings" w:hAnsi="Wingdings" w:hint="default"/>
      </w:rPr>
    </w:lvl>
    <w:lvl w:ilvl="1" w:tplc="B9DCA7A8">
      <w:start w:val="1"/>
      <w:numFmt w:val="bullet"/>
      <w:lvlText w:val=""/>
      <w:lvlJc w:val="left"/>
      <w:pPr>
        <w:tabs>
          <w:tab w:val="num" w:pos="1440"/>
        </w:tabs>
        <w:ind w:left="1440" w:hanging="360"/>
      </w:pPr>
      <w:rPr>
        <w:rFonts w:ascii="Wingdings" w:hAnsi="Wingdings" w:hint="default"/>
      </w:rPr>
    </w:lvl>
    <w:lvl w:ilvl="2" w:tplc="6E76FDA4" w:tentative="1">
      <w:start w:val="1"/>
      <w:numFmt w:val="bullet"/>
      <w:lvlText w:val=""/>
      <w:lvlJc w:val="left"/>
      <w:pPr>
        <w:tabs>
          <w:tab w:val="num" w:pos="2160"/>
        </w:tabs>
        <w:ind w:left="2160" w:hanging="360"/>
      </w:pPr>
      <w:rPr>
        <w:rFonts w:ascii="Wingdings" w:hAnsi="Wingdings" w:hint="default"/>
      </w:rPr>
    </w:lvl>
    <w:lvl w:ilvl="3" w:tplc="173842D8" w:tentative="1">
      <w:start w:val="1"/>
      <w:numFmt w:val="bullet"/>
      <w:lvlText w:val=""/>
      <w:lvlJc w:val="left"/>
      <w:pPr>
        <w:tabs>
          <w:tab w:val="num" w:pos="2880"/>
        </w:tabs>
        <w:ind w:left="2880" w:hanging="360"/>
      </w:pPr>
      <w:rPr>
        <w:rFonts w:ascii="Wingdings" w:hAnsi="Wingdings" w:hint="default"/>
      </w:rPr>
    </w:lvl>
    <w:lvl w:ilvl="4" w:tplc="CB0AC694" w:tentative="1">
      <w:start w:val="1"/>
      <w:numFmt w:val="bullet"/>
      <w:lvlText w:val=""/>
      <w:lvlJc w:val="left"/>
      <w:pPr>
        <w:tabs>
          <w:tab w:val="num" w:pos="3600"/>
        </w:tabs>
        <w:ind w:left="3600" w:hanging="360"/>
      </w:pPr>
      <w:rPr>
        <w:rFonts w:ascii="Wingdings" w:hAnsi="Wingdings" w:hint="default"/>
      </w:rPr>
    </w:lvl>
    <w:lvl w:ilvl="5" w:tplc="C08EB81C" w:tentative="1">
      <w:start w:val="1"/>
      <w:numFmt w:val="bullet"/>
      <w:lvlText w:val=""/>
      <w:lvlJc w:val="left"/>
      <w:pPr>
        <w:tabs>
          <w:tab w:val="num" w:pos="4320"/>
        </w:tabs>
        <w:ind w:left="4320" w:hanging="360"/>
      </w:pPr>
      <w:rPr>
        <w:rFonts w:ascii="Wingdings" w:hAnsi="Wingdings" w:hint="default"/>
      </w:rPr>
    </w:lvl>
    <w:lvl w:ilvl="6" w:tplc="B9A6AE0C" w:tentative="1">
      <w:start w:val="1"/>
      <w:numFmt w:val="bullet"/>
      <w:lvlText w:val=""/>
      <w:lvlJc w:val="left"/>
      <w:pPr>
        <w:tabs>
          <w:tab w:val="num" w:pos="5040"/>
        </w:tabs>
        <w:ind w:left="5040" w:hanging="360"/>
      </w:pPr>
      <w:rPr>
        <w:rFonts w:ascii="Wingdings" w:hAnsi="Wingdings" w:hint="default"/>
      </w:rPr>
    </w:lvl>
    <w:lvl w:ilvl="7" w:tplc="6E981802" w:tentative="1">
      <w:start w:val="1"/>
      <w:numFmt w:val="bullet"/>
      <w:lvlText w:val=""/>
      <w:lvlJc w:val="left"/>
      <w:pPr>
        <w:tabs>
          <w:tab w:val="num" w:pos="5760"/>
        </w:tabs>
        <w:ind w:left="5760" w:hanging="360"/>
      </w:pPr>
      <w:rPr>
        <w:rFonts w:ascii="Wingdings" w:hAnsi="Wingdings" w:hint="default"/>
      </w:rPr>
    </w:lvl>
    <w:lvl w:ilvl="8" w:tplc="607E30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D26266"/>
    <w:multiLevelType w:val="hybridMultilevel"/>
    <w:tmpl w:val="5BE83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0862648"/>
    <w:multiLevelType w:val="hybridMultilevel"/>
    <w:tmpl w:val="E6501F6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5">
      <w:start w:val="1"/>
      <w:numFmt w:val="upp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91B5382"/>
    <w:multiLevelType w:val="hybridMultilevel"/>
    <w:tmpl w:val="F1169D46"/>
    <w:lvl w:ilvl="0" w:tplc="1450B92C">
      <w:numFmt w:val="bullet"/>
      <w:lvlText w:val="-"/>
      <w:lvlJc w:val="left"/>
      <w:pPr>
        <w:ind w:left="720" w:hanging="360"/>
      </w:pPr>
      <w:rPr>
        <w:rFonts w:ascii="Century Gothic" w:eastAsia="Century Gothic"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DE4698D"/>
    <w:multiLevelType w:val="hybridMultilevel"/>
    <w:tmpl w:val="27682C48"/>
    <w:lvl w:ilvl="0" w:tplc="04100001">
      <w:start w:val="1"/>
      <w:numFmt w:val="bullet"/>
      <w:lvlText w:val=""/>
      <w:lvlJc w:val="left"/>
      <w:pPr>
        <w:ind w:left="755" w:hanging="360"/>
      </w:pPr>
      <w:rPr>
        <w:rFonts w:ascii="Symbol" w:hAnsi="Symbol" w:hint="default"/>
      </w:rPr>
    </w:lvl>
    <w:lvl w:ilvl="1" w:tplc="04100003" w:tentative="1">
      <w:start w:val="1"/>
      <w:numFmt w:val="bullet"/>
      <w:lvlText w:val="o"/>
      <w:lvlJc w:val="left"/>
      <w:pPr>
        <w:ind w:left="1475" w:hanging="360"/>
      </w:pPr>
      <w:rPr>
        <w:rFonts w:ascii="Courier New" w:hAnsi="Courier New" w:cs="Courier New" w:hint="default"/>
      </w:rPr>
    </w:lvl>
    <w:lvl w:ilvl="2" w:tplc="04100005" w:tentative="1">
      <w:start w:val="1"/>
      <w:numFmt w:val="bullet"/>
      <w:lvlText w:val=""/>
      <w:lvlJc w:val="left"/>
      <w:pPr>
        <w:ind w:left="2195" w:hanging="360"/>
      </w:pPr>
      <w:rPr>
        <w:rFonts w:ascii="Wingdings" w:hAnsi="Wingdings" w:hint="default"/>
      </w:rPr>
    </w:lvl>
    <w:lvl w:ilvl="3" w:tplc="04100001" w:tentative="1">
      <w:start w:val="1"/>
      <w:numFmt w:val="bullet"/>
      <w:lvlText w:val=""/>
      <w:lvlJc w:val="left"/>
      <w:pPr>
        <w:ind w:left="2915" w:hanging="360"/>
      </w:pPr>
      <w:rPr>
        <w:rFonts w:ascii="Symbol" w:hAnsi="Symbol" w:hint="default"/>
      </w:rPr>
    </w:lvl>
    <w:lvl w:ilvl="4" w:tplc="04100003" w:tentative="1">
      <w:start w:val="1"/>
      <w:numFmt w:val="bullet"/>
      <w:lvlText w:val="o"/>
      <w:lvlJc w:val="left"/>
      <w:pPr>
        <w:ind w:left="3635" w:hanging="360"/>
      </w:pPr>
      <w:rPr>
        <w:rFonts w:ascii="Courier New" w:hAnsi="Courier New" w:cs="Courier New" w:hint="default"/>
      </w:rPr>
    </w:lvl>
    <w:lvl w:ilvl="5" w:tplc="04100005" w:tentative="1">
      <w:start w:val="1"/>
      <w:numFmt w:val="bullet"/>
      <w:lvlText w:val=""/>
      <w:lvlJc w:val="left"/>
      <w:pPr>
        <w:ind w:left="4355" w:hanging="360"/>
      </w:pPr>
      <w:rPr>
        <w:rFonts w:ascii="Wingdings" w:hAnsi="Wingdings" w:hint="default"/>
      </w:rPr>
    </w:lvl>
    <w:lvl w:ilvl="6" w:tplc="04100001" w:tentative="1">
      <w:start w:val="1"/>
      <w:numFmt w:val="bullet"/>
      <w:lvlText w:val=""/>
      <w:lvlJc w:val="left"/>
      <w:pPr>
        <w:ind w:left="5075" w:hanging="360"/>
      </w:pPr>
      <w:rPr>
        <w:rFonts w:ascii="Symbol" w:hAnsi="Symbol" w:hint="default"/>
      </w:rPr>
    </w:lvl>
    <w:lvl w:ilvl="7" w:tplc="04100003" w:tentative="1">
      <w:start w:val="1"/>
      <w:numFmt w:val="bullet"/>
      <w:lvlText w:val="o"/>
      <w:lvlJc w:val="left"/>
      <w:pPr>
        <w:ind w:left="5795" w:hanging="360"/>
      </w:pPr>
      <w:rPr>
        <w:rFonts w:ascii="Courier New" w:hAnsi="Courier New" w:cs="Courier New" w:hint="default"/>
      </w:rPr>
    </w:lvl>
    <w:lvl w:ilvl="8" w:tplc="04100005" w:tentative="1">
      <w:start w:val="1"/>
      <w:numFmt w:val="bullet"/>
      <w:lvlText w:val=""/>
      <w:lvlJc w:val="left"/>
      <w:pPr>
        <w:ind w:left="6515" w:hanging="360"/>
      </w:pPr>
      <w:rPr>
        <w:rFonts w:ascii="Wingdings" w:hAnsi="Wingdings" w:hint="default"/>
      </w:rPr>
    </w:lvl>
  </w:abstractNum>
  <w:abstractNum w:abstractNumId="9" w15:restartNumberingAfterBreak="0">
    <w:nsid w:val="4F071027"/>
    <w:multiLevelType w:val="hybridMultilevel"/>
    <w:tmpl w:val="A6E2D620"/>
    <w:lvl w:ilvl="0" w:tplc="8CCE2ACC">
      <w:start w:val="1"/>
      <w:numFmt w:val="bullet"/>
      <w:lvlText w:val="-"/>
      <w:lvlJc w:val="left"/>
      <w:pPr>
        <w:ind w:left="720" w:hanging="360"/>
      </w:pPr>
      <w:rPr>
        <w:rFonts w:ascii="Tahoma"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32F79C9"/>
    <w:multiLevelType w:val="hybridMultilevel"/>
    <w:tmpl w:val="D97C02A0"/>
    <w:lvl w:ilvl="0" w:tplc="DDD6FB90">
      <w:start w:val="1"/>
      <w:numFmt w:val="bullet"/>
      <w:lvlText w:val="-"/>
      <w:lvlJc w:val="left"/>
      <w:pPr>
        <w:ind w:left="1440" w:hanging="360"/>
      </w:pPr>
      <w:rPr>
        <w:rFonts w:ascii="Calibri" w:hAnsi="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5CC07CF0"/>
    <w:multiLevelType w:val="hybridMultilevel"/>
    <w:tmpl w:val="972AA00E"/>
    <w:lvl w:ilvl="0" w:tplc="04100001">
      <w:start w:val="1"/>
      <w:numFmt w:val="bullet"/>
      <w:lvlText w:val=""/>
      <w:lvlJc w:val="left"/>
      <w:pPr>
        <w:ind w:left="720" w:hanging="360"/>
      </w:pPr>
      <w:rPr>
        <w:rFonts w:ascii="Symbol" w:hAnsi="Symbol" w:hint="default"/>
      </w:rPr>
    </w:lvl>
    <w:lvl w:ilvl="1" w:tplc="DDD6FB90">
      <w:start w:val="1"/>
      <w:numFmt w:val="bullet"/>
      <w:lvlText w:val="-"/>
      <w:lvlJc w:val="left"/>
      <w:pPr>
        <w:ind w:left="1440" w:hanging="360"/>
      </w:pPr>
      <w:rPr>
        <w:rFonts w:ascii="Calibri"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693CF4"/>
    <w:multiLevelType w:val="hybridMultilevel"/>
    <w:tmpl w:val="9BF8FE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B0D2B7E"/>
    <w:multiLevelType w:val="singleLevel"/>
    <w:tmpl w:val="0E763098"/>
    <w:lvl w:ilvl="0">
      <w:start w:val="1"/>
      <w:numFmt w:val="bullet"/>
      <w:pStyle w:val="Punt"/>
      <w:lvlText w:val=""/>
      <w:lvlJc w:val="left"/>
      <w:pPr>
        <w:tabs>
          <w:tab w:val="num" w:pos="2552"/>
        </w:tabs>
        <w:ind w:left="2552" w:hanging="567"/>
      </w:pPr>
      <w:rPr>
        <w:rFonts w:ascii="Symbol" w:hAnsi="Symbol" w:hint="default"/>
        <w:sz w:val="20"/>
      </w:rPr>
    </w:lvl>
  </w:abstractNum>
  <w:abstractNum w:abstractNumId="14" w15:restartNumberingAfterBreak="0">
    <w:nsid w:val="6BC66367"/>
    <w:multiLevelType w:val="hybridMultilevel"/>
    <w:tmpl w:val="9BD6D042"/>
    <w:lvl w:ilvl="0" w:tplc="55840E10">
      <w:start w:val="1"/>
      <w:numFmt w:val="bullet"/>
      <w:lvlText w:val="•"/>
      <w:lvlJc w:val="left"/>
      <w:pPr>
        <w:tabs>
          <w:tab w:val="num" w:pos="720"/>
        </w:tabs>
        <w:ind w:left="720" w:hanging="360"/>
      </w:pPr>
      <w:rPr>
        <w:rFonts w:ascii="Arial" w:hAnsi="Arial" w:hint="default"/>
      </w:rPr>
    </w:lvl>
    <w:lvl w:ilvl="1" w:tplc="B6903A74">
      <w:start w:val="19"/>
      <w:numFmt w:val="bullet"/>
      <w:lvlText w:val="-"/>
      <w:lvlJc w:val="left"/>
      <w:pPr>
        <w:tabs>
          <w:tab w:val="num" w:pos="1440"/>
        </w:tabs>
        <w:ind w:left="1440" w:hanging="360"/>
      </w:pPr>
      <w:rPr>
        <w:rFonts w:ascii="Calibri" w:hAnsi="Calibri" w:hint="default"/>
      </w:rPr>
    </w:lvl>
    <w:lvl w:ilvl="2" w:tplc="E79E290C">
      <w:start w:val="1"/>
      <w:numFmt w:val="bullet"/>
      <w:lvlText w:val="•"/>
      <w:lvlJc w:val="left"/>
      <w:pPr>
        <w:tabs>
          <w:tab w:val="num" w:pos="2160"/>
        </w:tabs>
        <w:ind w:left="2160" w:hanging="360"/>
      </w:pPr>
      <w:rPr>
        <w:rFonts w:ascii="Arial" w:hAnsi="Arial" w:hint="default"/>
      </w:rPr>
    </w:lvl>
    <w:lvl w:ilvl="3" w:tplc="2D047FD0" w:tentative="1">
      <w:start w:val="1"/>
      <w:numFmt w:val="bullet"/>
      <w:lvlText w:val="•"/>
      <w:lvlJc w:val="left"/>
      <w:pPr>
        <w:tabs>
          <w:tab w:val="num" w:pos="2880"/>
        </w:tabs>
        <w:ind w:left="2880" w:hanging="360"/>
      </w:pPr>
      <w:rPr>
        <w:rFonts w:ascii="Arial" w:hAnsi="Arial" w:hint="default"/>
      </w:rPr>
    </w:lvl>
    <w:lvl w:ilvl="4" w:tplc="B3BCB8F8" w:tentative="1">
      <w:start w:val="1"/>
      <w:numFmt w:val="bullet"/>
      <w:lvlText w:val="•"/>
      <w:lvlJc w:val="left"/>
      <w:pPr>
        <w:tabs>
          <w:tab w:val="num" w:pos="3600"/>
        </w:tabs>
        <w:ind w:left="3600" w:hanging="360"/>
      </w:pPr>
      <w:rPr>
        <w:rFonts w:ascii="Arial" w:hAnsi="Arial" w:hint="default"/>
      </w:rPr>
    </w:lvl>
    <w:lvl w:ilvl="5" w:tplc="81283E74" w:tentative="1">
      <w:start w:val="1"/>
      <w:numFmt w:val="bullet"/>
      <w:lvlText w:val="•"/>
      <w:lvlJc w:val="left"/>
      <w:pPr>
        <w:tabs>
          <w:tab w:val="num" w:pos="4320"/>
        </w:tabs>
        <w:ind w:left="4320" w:hanging="360"/>
      </w:pPr>
      <w:rPr>
        <w:rFonts w:ascii="Arial" w:hAnsi="Arial" w:hint="default"/>
      </w:rPr>
    </w:lvl>
    <w:lvl w:ilvl="6" w:tplc="473C146C" w:tentative="1">
      <w:start w:val="1"/>
      <w:numFmt w:val="bullet"/>
      <w:lvlText w:val="•"/>
      <w:lvlJc w:val="left"/>
      <w:pPr>
        <w:tabs>
          <w:tab w:val="num" w:pos="5040"/>
        </w:tabs>
        <w:ind w:left="5040" w:hanging="360"/>
      </w:pPr>
      <w:rPr>
        <w:rFonts w:ascii="Arial" w:hAnsi="Arial" w:hint="default"/>
      </w:rPr>
    </w:lvl>
    <w:lvl w:ilvl="7" w:tplc="D5EC3768" w:tentative="1">
      <w:start w:val="1"/>
      <w:numFmt w:val="bullet"/>
      <w:lvlText w:val="•"/>
      <w:lvlJc w:val="left"/>
      <w:pPr>
        <w:tabs>
          <w:tab w:val="num" w:pos="5760"/>
        </w:tabs>
        <w:ind w:left="5760" w:hanging="360"/>
      </w:pPr>
      <w:rPr>
        <w:rFonts w:ascii="Arial" w:hAnsi="Arial" w:hint="default"/>
      </w:rPr>
    </w:lvl>
    <w:lvl w:ilvl="8" w:tplc="E280C4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47D3B90"/>
    <w:multiLevelType w:val="hybridMultilevel"/>
    <w:tmpl w:val="D0500EF0"/>
    <w:lvl w:ilvl="0" w:tplc="DA3CA776">
      <w:numFmt w:val="bullet"/>
      <w:lvlText w:val="-"/>
      <w:lvlJc w:val="left"/>
      <w:pPr>
        <w:ind w:left="720" w:hanging="360"/>
      </w:pPr>
      <w:rPr>
        <w:rFonts w:ascii="Century Gothic" w:eastAsia="Century Gothic"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5922A98"/>
    <w:multiLevelType w:val="hybridMultilevel"/>
    <w:tmpl w:val="A4246394"/>
    <w:lvl w:ilvl="0" w:tplc="F9E43BE2">
      <w:start w:val="1"/>
      <w:numFmt w:val="bullet"/>
      <w:lvlText w:val=""/>
      <w:lvlJc w:val="left"/>
      <w:pPr>
        <w:tabs>
          <w:tab w:val="num" w:pos="720"/>
        </w:tabs>
        <w:ind w:left="720" w:hanging="360"/>
      </w:pPr>
      <w:rPr>
        <w:rFonts w:ascii="Wingdings" w:hAnsi="Wingdings" w:hint="default"/>
      </w:rPr>
    </w:lvl>
    <w:lvl w:ilvl="1" w:tplc="DA3CA776">
      <w:numFmt w:val="bullet"/>
      <w:lvlText w:val="-"/>
      <w:lvlJc w:val="left"/>
      <w:pPr>
        <w:tabs>
          <w:tab w:val="num" w:pos="1440"/>
        </w:tabs>
        <w:ind w:left="1440" w:hanging="360"/>
      </w:pPr>
      <w:rPr>
        <w:rFonts w:ascii="Century Gothic" w:eastAsia="Century Gothic" w:hAnsi="Century Gothic" w:cs="Century Gothic" w:hint="default"/>
      </w:rPr>
    </w:lvl>
    <w:lvl w:ilvl="2" w:tplc="6E76FDA4" w:tentative="1">
      <w:start w:val="1"/>
      <w:numFmt w:val="bullet"/>
      <w:lvlText w:val=""/>
      <w:lvlJc w:val="left"/>
      <w:pPr>
        <w:tabs>
          <w:tab w:val="num" w:pos="2160"/>
        </w:tabs>
        <w:ind w:left="2160" w:hanging="360"/>
      </w:pPr>
      <w:rPr>
        <w:rFonts w:ascii="Wingdings" w:hAnsi="Wingdings" w:hint="default"/>
      </w:rPr>
    </w:lvl>
    <w:lvl w:ilvl="3" w:tplc="173842D8" w:tentative="1">
      <w:start w:val="1"/>
      <w:numFmt w:val="bullet"/>
      <w:lvlText w:val=""/>
      <w:lvlJc w:val="left"/>
      <w:pPr>
        <w:tabs>
          <w:tab w:val="num" w:pos="2880"/>
        </w:tabs>
        <w:ind w:left="2880" w:hanging="360"/>
      </w:pPr>
      <w:rPr>
        <w:rFonts w:ascii="Wingdings" w:hAnsi="Wingdings" w:hint="default"/>
      </w:rPr>
    </w:lvl>
    <w:lvl w:ilvl="4" w:tplc="CB0AC694" w:tentative="1">
      <w:start w:val="1"/>
      <w:numFmt w:val="bullet"/>
      <w:lvlText w:val=""/>
      <w:lvlJc w:val="left"/>
      <w:pPr>
        <w:tabs>
          <w:tab w:val="num" w:pos="3600"/>
        </w:tabs>
        <w:ind w:left="3600" w:hanging="360"/>
      </w:pPr>
      <w:rPr>
        <w:rFonts w:ascii="Wingdings" w:hAnsi="Wingdings" w:hint="default"/>
      </w:rPr>
    </w:lvl>
    <w:lvl w:ilvl="5" w:tplc="C08EB81C" w:tentative="1">
      <w:start w:val="1"/>
      <w:numFmt w:val="bullet"/>
      <w:lvlText w:val=""/>
      <w:lvlJc w:val="left"/>
      <w:pPr>
        <w:tabs>
          <w:tab w:val="num" w:pos="4320"/>
        </w:tabs>
        <w:ind w:left="4320" w:hanging="360"/>
      </w:pPr>
      <w:rPr>
        <w:rFonts w:ascii="Wingdings" w:hAnsi="Wingdings" w:hint="default"/>
      </w:rPr>
    </w:lvl>
    <w:lvl w:ilvl="6" w:tplc="B9A6AE0C" w:tentative="1">
      <w:start w:val="1"/>
      <w:numFmt w:val="bullet"/>
      <w:lvlText w:val=""/>
      <w:lvlJc w:val="left"/>
      <w:pPr>
        <w:tabs>
          <w:tab w:val="num" w:pos="5040"/>
        </w:tabs>
        <w:ind w:left="5040" w:hanging="360"/>
      </w:pPr>
      <w:rPr>
        <w:rFonts w:ascii="Wingdings" w:hAnsi="Wingdings" w:hint="default"/>
      </w:rPr>
    </w:lvl>
    <w:lvl w:ilvl="7" w:tplc="6E981802" w:tentative="1">
      <w:start w:val="1"/>
      <w:numFmt w:val="bullet"/>
      <w:lvlText w:val=""/>
      <w:lvlJc w:val="left"/>
      <w:pPr>
        <w:tabs>
          <w:tab w:val="num" w:pos="5760"/>
        </w:tabs>
        <w:ind w:left="5760" w:hanging="360"/>
      </w:pPr>
      <w:rPr>
        <w:rFonts w:ascii="Wingdings" w:hAnsi="Wingdings" w:hint="default"/>
      </w:rPr>
    </w:lvl>
    <w:lvl w:ilvl="8" w:tplc="607E30C2"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12"/>
  </w:num>
  <w:num w:numId="4">
    <w:abstractNumId w:val="1"/>
  </w:num>
  <w:num w:numId="5">
    <w:abstractNumId w:val="7"/>
  </w:num>
  <w:num w:numId="6">
    <w:abstractNumId w:val="6"/>
  </w:num>
  <w:num w:numId="7">
    <w:abstractNumId w:val="3"/>
  </w:num>
  <w:num w:numId="8">
    <w:abstractNumId w:val="11"/>
  </w:num>
  <w:num w:numId="9">
    <w:abstractNumId w:val="16"/>
  </w:num>
  <w:num w:numId="10">
    <w:abstractNumId w:val="2"/>
  </w:num>
  <w:num w:numId="11">
    <w:abstractNumId w:val="0"/>
  </w:num>
  <w:num w:numId="12">
    <w:abstractNumId w:val="5"/>
  </w:num>
  <w:num w:numId="13">
    <w:abstractNumId w:val="14"/>
  </w:num>
  <w:num w:numId="14">
    <w:abstractNumId w:val="13"/>
  </w:num>
  <w:num w:numId="15">
    <w:abstractNumId w:val="10"/>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4575C"/>
    <w:rsid w:val="00014A75"/>
    <w:rsid w:val="00022CB5"/>
    <w:rsid w:val="000279A6"/>
    <w:rsid w:val="00042CCA"/>
    <w:rsid w:val="00046772"/>
    <w:rsid w:val="00055AAC"/>
    <w:rsid w:val="00055D03"/>
    <w:rsid w:val="00080EC5"/>
    <w:rsid w:val="000D4ECF"/>
    <w:rsid w:val="000F2F67"/>
    <w:rsid w:val="001126BC"/>
    <w:rsid w:val="00113FC9"/>
    <w:rsid w:val="001203A9"/>
    <w:rsid w:val="00136182"/>
    <w:rsid w:val="0014188B"/>
    <w:rsid w:val="00162C0E"/>
    <w:rsid w:val="00181CE6"/>
    <w:rsid w:val="001A633C"/>
    <w:rsid w:val="001A70A2"/>
    <w:rsid w:val="001C365D"/>
    <w:rsid w:val="001D604D"/>
    <w:rsid w:val="001F04E9"/>
    <w:rsid w:val="00220F27"/>
    <w:rsid w:val="00225F71"/>
    <w:rsid w:val="002342FE"/>
    <w:rsid w:val="002542B8"/>
    <w:rsid w:val="002643EF"/>
    <w:rsid w:val="00277B24"/>
    <w:rsid w:val="00281208"/>
    <w:rsid w:val="002B7C33"/>
    <w:rsid w:val="002C17A6"/>
    <w:rsid w:val="0030446F"/>
    <w:rsid w:val="00323F14"/>
    <w:rsid w:val="00327C84"/>
    <w:rsid w:val="00335624"/>
    <w:rsid w:val="0034545E"/>
    <w:rsid w:val="00365C2A"/>
    <w:rsid w:val="00375699"/>
    <w:rsid w:val="00381239"/>
    <w:rsid w:val="003A4B30"/>
    <w:rsid w:val="003A78AF"/>
    <w:rsid w:val="003C2E79"/>
    <w:rsid w:val="003C4083"/>
    <w:rsid w:val="003C4F09"/>
    <w:rsid w:val="003D63C3"/>
    <w:rsid w:val="003E234E"/>
    <w:rsid w:val="003F44F6"/>
    <w:rsid w:val="0041313F"/>
    <w:rsid w:val="00442592"/>
    <w:rsid w:val="004448AF"/>
    <w:rsid w:val="00456801"/>
    <w:rsid w:val="0046295A"/>
    <w:rsid w:val="0046667B"/>
    <w:rsid w:val="004801DF"/>
    <w:rsid w:val="0048289F"/>
    <w:rsid w:val="004B1BBE"/>
    <w:rsid w:val="00513BAA"/>
    <w:rsid w:val="00515988"/>
    <w:rsid w:val="00534D3C"/>
    <w:rsid w:val="0055615A"/>
    <w:rsid w:val="00566CBA"/>
    <w:rsid w:val="0058242F"/>
    <w:rsid w:val="005A49A9"/>
    <w:rsid w:val="005D7D6C"/>
    <w:rsid w:val="005E27C6"/>
    <w:rsid w:val="005F5BE1"/>
    <w:rsid w:val="0061611E"/>
    <w:rsid w:val="00641E7D"/>
    <w:rsid w:val="00695F2F"/>
    <w:rsid w:val="00697F33"/>
    <w:rsid w:val="006B4EB3"/>
    <w:rsid w:val="006C75C9"/>
    <w:rsid w:val="006D561D"/>
    <w:rsid w:val="006F0179"/>
    <w:rsid w:val="006F2ADC"/>
    <w:rsid w:val="006F3B34"/>
    <w:rsid w:val="00706C1A"/>
    <w:rsid w:val="0074321F"/>
    <w:rsid w:val="0077207F"/>
    <w:rsid w:val="007E67A5"/>
    <w:rsid w:val="00803437"/>
    <w:rsid w:val="00811793"/>
    <w:rsid w:val="00831A03"/>
    <w:rsid w:val="00871BF5"/>
    <w:rsid w:val="008F0155"/>
    <w:rsid w:val="00911629"/>
    <w:rsid w:val="009175E9"/>
    <w:rsid w:val="00931473"/>
    <w:rsid w:val="00943EF8"/>
    <w:rsid w:val="009504DD"/>
    <w:rsid w:val="0097438A"/>
    <w:rsid w:val="009B6CA0"/>
    <w:rsid w:val="009D1E8F"/>
    <w:rsid w:val="009D2487"/>
    <w:rsid w:val="00A00B03"/>
    <w:rsid w:val="00A0671B"/>
    <w:rsid w:val="00A1114A"/>
    <w:rsid w:val="00A31374"/>
    <w:rsid w:val="00A33D11"/>
    <w:rsid w:val="00A36D7E"/>
    <w:rsid w:val="00A531CE"/>
    <w:rsid w:val="00A7137C"/>
    <w:rsid w:val="00A7150E"/>
    <w:rsid w:val="00A913D6"/>
    <w:rsid w:val="00AA2F94"/>
    <w:rsid w:val="00AB5A99"/>
    <w:rsid w:val="00AC1B94"/>
    <w:rsid w:val="00AD2820"/>
    <w:rsid w:val="00B11A1C"/>
    <w:rsid w:val="00B41AA7"/>
    <w:rsid w:val="00B65BC7"/>
    <w:rsid w:val="00B92CC4"/>
    <w:rsid w:val="00B966E5"/>
    <w:rsid w:val="00BC7B3D"/>
    <w:rsid w:val="00C0314E"/>
    <w:rsid w:val="00C05CDD"/>
    <w:rsid w:val="00C2203B"/>
    <w:rsid w:val="00C35323"/>
    <w:rsid w:val="00C46D07"/>
    <w:rsid w:val="00C471F5"/>
    <w:rsid w:val="00C70C33"/>
    <w:rsid w:val="00C738D5"/>
    <w:rsid w:val="00C77D1F"/>
    <w:rsid w:val="00C836D4"/>
    <w:rsid w:val="00CA22AE"/>
    <w:rsid w:val="00CA3730"/>
    <w:rsid w:val="00CA5DB6"/>
    <w:rsid w:val="00CC5E67"/>
    <w:rsid w:val="00CE189E"/>
    <w:rsid w:val="00CF56C7"/>
    <w:rsid w:val="00CF7D8C"/>
    <w:rsid w:val="00D26C91"/>
    <w:rsid w:val="00D40903"/>
    <w:rsid w:val="00D4575C"/>
    <w:rsid w:val="00D47029"/>
    <w:rsid w:val="00D63D55"/>
    <w:rsid w:val="00D73645"/>
    <w:rsid w:val="00DE25A1"/>
    <w:rsid w:val="00DF1929"/>
    <w:rsid w:val="00DF51DB"/>
    <w:rsid w:val="00EA0DAC"/>
    <w:rsid w:val="00EB3E07"/>
    <w:rsid w:val="00EB4CFD"/>
    <w:rsid w:val="00EC39DC"/>
    <w:rsid w:val="00ED7207"/>
    <w:rsid w:val="00F05737"/>
    <w:rsid w:val="00F10C51"/>
    <w:rsid w:val="00F4012A"/>
    <w:rsid w:val="00F4455E"/>
    <w:rsid w:val="00F86309"/>
    <w:rsid w:val="00F86546"/>
    <w:rsid w:val="00FC36ED"/>
    <w:rsid w:val="00FC6D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C664F-455D-4F4B-8B5D-B2CB7342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3645"/>
  </w:style>
  <w:style w:type="paragraph" w:styleId="Titolo1">
    <w:name w:val="heading 1"/>
    <w:basedOn w:val="Normale"/>
    <w:next w:val="Normale"/>
    <w:link w:val="Titolo1Carattere"/>
    <w:uiPriority w:val="9"/>
    <w:qFormat/>
    <w:rsid w:val="00DF19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F5B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3C4F09"/>
    <w:pPr>
      <w:widowControl w:val="0"/>
      <w:autoSpaceDE w:val="0"/>
      <w:autoSpaceDN w:val="0"/>
      <w:spacing w:after="0" w:line="240" w:lineRule="auto"/>
      <w:jc w:val="both"/>
    </w:pPr>
    <w:rPr>
      <w:rFonts w:ascii="Century Gothic" w:eastAsia="Century Gothic" w:hAnsi="Century Gothic" w:cs="Century Gothic"/>
      <w:sz w:val="24"/>
      <w:szCs w:val="24"/>
      <w:lang w:eastAsia="it-IT" w:bidi="it-IT"/>
    </w:rPr>
  </w:style>
  <w:style w:type="character" w:customStyle="1" w:styleId="CorpotestoCarattere">
    <w:name w:val="Corpo testo Carattere"/>
    <w:basedOn w:val="Carpredefinitoparagrafo"/>
    <w:link w:val="Corpotesto"/>
    <w:uiPriority w:val="1"/>
    <w:rsid w:val="003C4F09"/>
    <w:rPr>
      <w:rFonts w:ascii="Century Gothic" w:eastAsia="Century Gothic" w:hAnsi="Century Gothic" w:cs="Century Gothic"/>
      <w:sz w:val="24"/>
      <w:szCs w:val="24"/>
      <w:lang w:eastAsia="it-IT" w:bidi="it-IT"/>
    </w:rPr>
  </w:style>
  <w:style w:type="table" w:styleId="Grigliatabella">
    <w:name w:val="Table Grid"/>
    <w:basedOn w:val="Tabellanormale"/>
    <w:uiPriority w:val="39"/>
    <w:rsid w:val="0001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C7B3D"/>
    <w:pPr>
      <w:ind w:left="720"/>
      <w:contextualSpacing/>
    </w:pPr>
  </w:style>
  <w:style w:type="paragraph" w:customStyle="1" w:styleId="TableParagraph">
    <w:name w:val="Table Paragraph"/>
    <w:basedOn w:val="Normale"/>
    <w:uiPriority w:val="1"/>
    <w:qFormat/>
    <w:rsid w:val="00277B24"/>
    <w:pPr>
      <w:widowControl w:val="0"/>
      <w:autoSpaceDE w:val="0"/>
      <w:autoSpaceDN w:val="0"/>
      <w:spacing w:after="0" w:line="240" w:lineRule="auto"/>
    </w:pPr>
    <w:rPr>
      <w:rFonts w:ascii="Times New Roman" w:eastAsia="Times New Roman" w:hAnsi="Times New Roman" w:cs="Times New Roman"/>
      <w:lang w:eastAsia="it-IT" w:bidi="it-IT"/>
    </w:rPr>
  </w:style>
  <w:style w:type="character" w:customStyle="1" w:styleId="Titolo1Carattere">
    <w:name w:val="Titolo 1 Carattere"/>
    <w:basedOn w:val="Carpredefinitoparagrafo"/>
    <w:link w:val="Titolo1"/>
    <w:uiPriority w:val="9"/>
    <w:rsid w:val="00DF1929"/>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5F5BE1"/>
    <w:rPr>
      <w:rFonts w:asciiTheme="majorHAnsi" w:eastAsiaTheme="majorEastAsia" w:hAnsiTheme="majorHAnsi" w:cstheme="majorBidi"/>
      <w:color w:val="2F5496" w:themeColor="accent1" w:themeShade="BF"/>
      <w:sz w:val="26"/>
      <w:szCs w:val="26"/>
    </w:rPr>
  </w:style>
  <w:style w:type="paragraph" w:styleId="Intestazione">
    <w:name w:val="header"/>
    <w:basedOn w:val="Normale"/>
    <w:link w:val="IntestazioneCarattere"/>
    <w:uiPriority w:val="99"/>
    <w:unhideWhenUsed/>
    <w:rsid w:val="004666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667B"/>
  </w:style>
  <w:style w:type="paragraph" w:styleId="Pidipagina">
    <w:name w:val="footer"/>
    <w:basedOn w:val="Normale"/>
    <w:link w:val="PidipaginaCarattere"/>
    <w:uiPriority w:val="99"/>
    <w:unhideWhenUsed/>
    <w:rsid w:val="004666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667B"/>
  </w:style>
  <w:style w:type="paragraph" w:customStyle="1" w:styleId="Punt">
    <w:name w:val="Punt"/>
    <w:basedOn w:val="Normale"/>
    <w:rsid w:val="0061611E"/>
    <w:pPr>
      <w:numPr>
        <w:numId w:val="14"/>
      </w:numPr>
      <w:spacing w:after="0" w:line="240" w:lineRule="auto"/>
      <w:jc w:val="both"/>
    </w:pPr>
    <w:rPr>
      <w:rFonts w:ascii="Arial Narrow" w:eastAsia="Times New Roman" w:hAnsi="Arial Narrow" w:cs="Times New Roman"/>
      <w:snapToGrid w:val="0"/>
      <w:sz w:val="20"/>
      <w:szCs w:val="20"/>
      <w:lang w:eastAsia="it-IT"/>
    </w:rPr>
  </w:style>
  <w:style w:type="character" w:styleId="Collegamentoipertestuale">
    <w:name w:val="Hyperlink"/>
    <w:basedOn w:val="Carpredefinitoparagrafo"/>
    <w:uiPriority w:val="99"/>
    <w:unhideWhenUsed/>
    <w:rsid w:val="00AA2F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s-brianza.it" TargetMode="External"/><Relationship Id="rId3" Type="http://schemas.openxmlformats.org/officeDocument/2006/relationships/settings" Target="settings.xml"/><Relationship Id="rId7" Type="http://schemas.openxmlformats.org/officeDocument/2006/relationships/hyperlink" Target="mailto:protocollo@pec.ats-brianz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rnella.perego@ats-brianz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6</Pages>
  <Words>2497</Words>
  <Characters>14236</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Cesarina Colombini</dc:creator>
  <cp:lastModifiedBy>Autilia Giglio</cp:lastModifiedBy>
  <cp:revision>31</cp:revision>
  <cp:lastPrinted>2020-01-24T08:17:00Z</cp:lastPrinted>
  <dcterms:created xsi:type="dcterms:W3CDTF">2020-01-21T16:05:00Z</dcterms:created>
  <dcterms:modified xsi:type="dcterms:W3CDTF">2020-05-29T07:40:00Z</dcterms:modified>
</cp:coreProperties>
</file>